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7834" w14:textId="77777777" w:rsidR="00205993" w:rsidRPr="00721934" w:rsidRDefault="00205993" w:rsidP="00205993">
      <w:pPr>
        <w:shd w:val="clear" w:color="auto" w:fill="FFFF00"/>
        <w:rPr>
          <w:rFonts w:ascii="Calibri" w:hAnsi="Calibri"/>
          <w:b/>
          <w:i/>
          <w:sz w:val="22"/>
          <w:szCs w:val="22"/>
        </w:rPr>
      </w:pPr>
      <w:bookmarkStart w:id="0" w:name="_Toc461959688"/>
      <w:bookmarkStart w:id="1" w:name="_Toc462219179"/>
      <w:bookmarkStart w:id="2" w:name="_Toc462241988"/>
      <w:bookmarkStart w:id="3" w:name="_Toc462583132"/>
      <w:bookmarkStart w:id="4" w:name="_Toc462583261"/>
      <w:bookmarkStart w:id="5" w:name="_Toc461636294"/>
      <w:bookmarkStart w:id="6" w:name="_Toc465016667"/>
      <w:bookmarkEnd w:id="0"/>
      <w:bookmarkEnd w:id="1"/>
      <w:bookmarkEnd w:id="2"/>
      <w:bookmarkEnd w:id="3"/>
      <w:bookmarkEnd w:id="4"/>
      <w:r w:rsidRPr="00721934">
        <w:rPr>
          <w:rFonts w:ascii="Calibri" w:hAnsi="Calibri"/>
          <w:b/>
          <w:i/>
          <w:sz w:val="22"/>
          <w:szCs w:val="22"/>
        </w:rPr>
        <w:t xml:space="preserve">(Kommentarer og </w:t>
      </w:r>
      <w:r w:rsidR="00894977">
        <w:rPr>
          <w:rFonts w:ascii="Calibri" w:hAnsi="Calibri"/>
          <w:b/>
          <w:i/>
          <w:sz w:val="22"/>
          <w:szCs w:val="22"/>
        </w:rPr>
        <w:t>noen</w:t>
      </w:r>
      <w:r w:rsidRPr="00721934">
        <w:rPr>
          <w:rFonts w:ascii="Calibri" w:hAnsi="Calibri"/>
          <w:b/>
          <w:i/>
          <w:sz w:val="22"/>
          <w:szCs w:val="22"/>
        </w:rPr>
        <w:t xml:space="preserve"> råd er skrevet i gult innledningsvis og underveis i </w:t>
      </w:r>
      <w:r w:rsidR="008A0B40">
        <w:rPr>
          <w:rFonts w:ascii="Calibri" w:hAnsi="Calibri"/>
          <w:b/>
          <w:i/>
          <w:sz w:val="22"/>
          <w:szCs w:val="22"/>
        </w:rPr>
        <w:t>dokumentet</w:t>
      </w:r>
      <w:r w:rsidRPr="00721934">
        <w:rPr>
          <w:rFonts w:ascii="Calibri" w:hAnsi="Calibri"/>
          <w:b/>
          <w:i/>
          <w:sz w:val="22"/>
          <w:szCs w:val="22"/>
        </w:rPr>
        <w:t xml:space="preserve">. </w:t>
      </w:r>
    </w:p>
    <w:p w14:paraId="2A2F249B" w14:textId="77777777" w:rsidR="00424574" w:rsidRDefault="00205993" w:rsidP="00205993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205993">
        <w:rPr>
          <w:rFonts w:ascii="Calibri" w:hAnsi="Calibri"/>
          <w:i/>
          <w:sz w:val="22"/>
          <w:szCs w:val="22"/>
        </w:rPr>
        <w:t xml:space="preserve">Dette eksempelet dekker </w:t>
      </w:r>
      <w:r w:rsidR="00B25B1B">
        <w:rPr>
          <w:rFonts w:ascii="Calibri" w:hAnsi="Calibri"/>
          <w:i/>
          <w:sz w:val="22"/>
          <w:szCs w:val="22"/>
        </w:rPr>
        <w:t>internkontrollområdene informasjonssikkerhet og kvalitet</w:t>
      </w:r>
      <w:r w:rsidRPr="00205993">
        <w:rPr>
          <w:rFonts w:ascii="Calibri" w:hAnsi="Calibri"/>
          <w:i/>
          <w:sz w:val="22"/>
          <w:szCs w:val="22"/>
        </w:rPr>
        <w:t xml:space="preserve">. </w:t>
      </w:r>
      <w:r w:rsidR="0071100A">
        <w:rPr>
          <w:rFonts w:ascii="Calibri" w:hAnsi="Calibri"/>
          <w:i/>
          <w:sz w:val="22"/>
          <w:szCs w:val="22"/>
        </w:rPr>
        <w:t>Eksempelet</w:t>
      </w:r>
      <w:r w:rsidRPr="00721934">
        <w:rPr>
          <w:rFonts w:ascii="Calibri" w:hAnsi="Calibri"/>
          <w:i/>
          <w:sz w:val="22"/>
          <w:szCs w:val="22"/>
        </w:rPr>
        <w:t xml:space="preserve"> har denne formen for å synlig</w:t>
      </w:r>
      <w:r w:rsidRPr="00721934">
        <w:rPr>
          <w:rFonts w:ascii="Calibri" w:hAnsi="Calibri"/>
          <w:i/>
          <w:sz w:val="22"/>
          <w:szCs w:val="22"/>
        </w:rPr>
        <w:softHyphen/>
        <w:t xml:space="preserve">gjøre hvordan </w:t>
      </w:r>
      <w:r w:rsidR="00B25B1B">
        <w:rPr>
          <w:rFonts w:ascii="Calibri" w:hAnsi="Calibri"/>
          <w:i/>
          <w:sz w:val="22"/>
          <w:szCs w:val="22"/>
        </w:rPr>
        <w:t xml:space="preserve">vurdering av behov for risikovurderinger </w:t>
      </w:r>
      <w:r w:rsidRPr="00205993">
        <w:rPr>
          <w:rFonts w:ascii="Calibri" w:hAnsi="Calibri"/>
          <w:i/>
          <w:sz w:val="22"/>
          <w:szCs w:val="22"/>
        </w:rPr>
        <w:t>innen informasjons</w:t>
      </w:r>
      <w:r w:rsidR="00B25B1B">
        <w:rPr>
          <w:rFonts w:ascii="Calibri" w:hAnsi="Calibri"/>
          <w:i/>
          <w:sz w:val="22"/>
          <w:szCs w:val="22"/>
        </w:rPr>
        <w:softHyphen/>
      </w:r>
      <w:r w:rsidRPr="00205993">
        <w:rPr>
          <w:rFonts w:ascii="Calibri" w:hAnsi="Calibri"/>
          <w:i/>
          <w:sz w:val="22"/>
          <w:szCs w:val="22"/>
        </w:rPr>
        <w:t xml:space="preserve">sikkerhet </w:t>
      </w:r>
      <w:r w:rsidRPr="00CC0D54">
        <w:rPr>
          <w:rFonts w:ascii="Calibri" w:hAnsi="Calibri"/>
          <w:i/>
          <w:sz w:val="22"/>
          <w:szCs w:val="22"/>
        </w:rPr>
        <w:t>kan</w:t>
      </w:r>
      <w:r w:rsidRPr="00205993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205993">
        <w:rPr>
          <w:rFonts w:ascii="Calibri" w:hAnsi="Calibri"/>
          <w:i/>
          <w:sz w:val="22"/>
          <w:szCs w:val="22"/>
        </w:rPr>
        <w:t>integreres</w:t>
      </w:r>
      <w:proofErr w:type="gramEnd"/>
      <w:r w:rsidRPr="00205993">
        <w:rPr>
          <w:rFonts w:ascii="Calibri" w:hAnsi="Calibri"/>
          <w:i/>
          <w:sz w:val="22"/>
          <w:szCs w:val="22"/>
        </w:rPr>
        <w:t xml:space="preserve"> med and</w:t>
      </w:r>
      <w:r w:rsidR="00424574">
        <w:rPr>
          <w:rFonts w:ascii="Calibri" w:hAnsi="Calibri"/>
          <w:i/>
          <w:sz w:val="22"/>
          <w:szCs w:val="22"/>
        </w:rPr>
        <w:t xml:space="preserve">re områder der det er naturlig, jf. </w:t>
      </w:r>
      <w:hyperlink r:id="rId11" w:anchor="KAPITTEL_3" w:history="1">
        <w:proofErr w:type="spellStart"/>
        <w:r w:rsidR="00424574" w:rsidRPr="00424574">
          <w:rPr>
            <w:rStyle w:val="Hyperkobling"/>
            <w:rFonts w:ascii="Calibri" w:hAnsi="Calibri"/>
            <w:i/>
            <w:sz w:val="22"/>
            <w:szCs w:val="22"/>
          </w:rPr>
          <w:t>eForvaltningsforskriften</w:t>
        </w:r>
        <w:proofErr w:type="spellEnd"/>
        <w:r w:rsidR="00424574" w:rsidRPr="00424574">
          <w:rPr>
            <w:rStyle w:val="Hyperkobling"/>
            <w:rFonts w:ascii="Calibri" w:hAnsi="Calibri"/>
            <w:i/>
            <w:sz w:val="22"/>
            <w:szCs w:val="22"/>
          </w:rPr>
          <w:t xml:space="preserve"> § 15</w:t>
        </w:r>
      </w:hyperlink>
      <w:r w:rsidR="00424574" w:rsidRPr="00424574">
        <w:rPr>
          <w:rFonts w:ascii="Calibri" w:hAnsi="Calibri"/>
          <w:i/>
          <w:sz w:val="22"/>
          <w:szCs w:val="22"/>
        </w:rPr>
        <w:t>, som sier at internkontrollen på informasjonssikkerhetsområdet «bør være en integrert del av virksomhetens helhetlige styringssystem».</w:t>
      </w:r>
    </w:p>
    <w:p w14:paraId="6D9C0D40" w14:textId="77777777" w:rsidR="008A0B40" w:rsidRDefault="00D07FA9" w:rsidP="008A0B40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Vurdering av behov for risikovurderinger mht. etterlevelse av kvalitetskrav, kan ha den tilnærmingen som er vist her. </w:t>
      </w:r>
      <w:r w:rsidR="00303C72">
        <w:rPr>
          <w:rFonts w:ascii="Calibri" w:hAnsi="Calibri"/>
          <w:i/>
          <w:sz w:val="22"/>
          <w:szCs w:val="22"/>
        </w:rPr>
        <w:t>D</w:t>
      </w:r>
      <w:r w:rsidR="008A0B40">
        <w:rPr>
          <w:rFonts w:ascii="Calibri" w:hAnsi="Calibri"/>
          <w:i/>
          <w:sz w:val="22"/>
          <w:szCs w:val="22"/>
        </w:rPr>
        <w:t xml:space="preserve">et </w:t>
      </w:r>
      <w:r w:rsidR="00303C72">
        <w:rPr>
          <w:rFonts w:ascii="Calibri" w:hAnsi="Calibri"/>
          <w:i/>
          <w:sz w:val="22"/>
          <w:szCs w:val="22"/>
        </w:rPr>
        <w:t xml:space="preserve">vil </w:t>
      </w:r>
      <w:r w:rsidR="008A0B40">
        <w:rPr>
          <w:rFonts w:ascii="Calibri" w:hAnsi="Calibri"/>
          <w:i/>
          <w:sz w:val="22"/>
          <w:szCs w:val="22"/>
        </w:rPr>
        <w:t xml:space="preserve">dessuten </w:t>
      </w:r>
      <w:r w:rsidR="00303C72">
        <w:rPr>
          <w:rFonts w:ascii="Calibri" w:hAnsi="Calibri"/>
          <w:i/>
          <w:sz w:val="22"/>
          <w:szCs w:val="22"/>
        </w:rPr>
        <w:t xml:space="preserve">i flere sammenhenger </w:t>
      </w:r>
      <w:r w:rsidR="008A0B40">
        <w:rPr>
          <w:rFonts w:ascii="Calibri" w:hAnsi="Calibri"/>
          <w:i/>
          <w:sz w:val="22"/>
          <w:szCs w:val="22"/>
        </w:rPr>
        <w:t>kunne være hensi</w:t>
      </w:r>
      <w:r w:rsidR="007F17E5">
        <w:rPr>
          <w:rFonts w:ascii="Calibri" w:hAnsi="Calibri"/>
          <w:i/>
          <w:sz w:val="22"/>
          <w:szCs w:val="22"/>
        </w:rPr>
        <w:t>kt</w:t>
      </w:r>
      <w:r w:rsidR="007F17E5">
        <w:rPr>
          <w:rFonts w:ascii="Calibri" w:hAnsi="Calibri"/>
          <w:i/>
          <w:sz w:val="22"/>
          <w:szCs w:val="22"/>
        </w:rPr>
        <w:softHyphen/>
        <w:t xml:space="preserve">smessig å gjennomføre </w:t>
      </w:r>
      <w:r w:rsidR="008A0B40">
        <w:rPr>
          <w:rFonts w:ascii="Calibri" w:hAnsi="Calibri"/>
          <w:i/>
          <w:sz w:val="22"/>
          <w:szCs w:val="22"/>
        </w:rPr>
        <w:t>risiko</w:t>
      </w:r>
      <w:r w:rsidR="008A0B40">
        <w:rPr>
          <w:rFonts w:ascii="Calibri" w:hAnsi="Calibri"/>
          <w:i/>
          <w:sz w:val="22"/>
          <w:szCs w:val="22"/>
        </w:rPr>
        <w:softHyphen/>
        <w:t>vurderinger for informasjons</w:t>
      </w:r>
      <w:r w:rsidR="008A0B40">
        <w:rPr>
          <w:rFonts w:ascii="Calibri" w:hAnsi="Calibri"/>
          <w:i/>
          <w:sz w:val="22"/>
          <w:szCs w:val="22"/>
        </w:rPr>
        <w:softHyphen/>
        <w:t>sikkerhet og kvalitet samlet. Det kan</w:t>
      </w:r>
      <w:r w:rsidR="00303C72">
        <w:rPr>
          <w:rFonts w:ascii="Calibri" w:hAnsi="Calibri"/>
          <w:i/>
          <w:sz w:val="22"/>
          <w:szCs w:val="22"/>
        </w:rPr>
        <w:t xml:space="preserve"> da </w:t>
      </w:r>
      <w:r w:rsidR="008A0B40">
        <w:rPr>
          <w:rFonts w:ascii="Calibri" w:hAnsi="Calibri"/>
          <w:i/>
          <w:sz w:val="22"/>
          <w:szCs w:val="22"/>
        </w:rPr>
        <w:t xml:space="preserve">være </w:t>
      </w:r>
      <w:r w:rsidR="004413C9">
        <w:rPr>
          <w:rFonts w:ascii="Calibri" w:hAnsi="Calibri"/>
          <w:i/>
          <w:sz w:val="22"/>
          <w:szCs w:val="22"/>
        </w:rPr>
        <w:t>nyttig</w:t>
      </w:r>
      <w:r w:rsidR="008A0B40">
        <w:rPr>
          <w:rFonts w:ascii="Calibri" w:hAnsi="Calibri"/>
          <w:i/>
          <w:sz w:val="22"/>
          <w:szCs w:val="22"/>
        </w:rPr>
        <w:t xml:space="preserve"> å foreta en vurdering av behovene for slike risikovurderinger samlet</w:t>
      </w:r>
      <w:r w:rsidR="00F14CE9">
        <w:rPr>
          <w:rFonts w:ascii="Calibri" w:hAnsi="Calibri"/>
          <w:i/>
          <w:sz w:val="22"/>
          <w:szCs w:val="22"/>
        </w:rPr>
        <w:t>.</w:t>
      </w:r>
      <w:r w:rsidR="008A0B40">
        <w:rPr>
          <w:rFonts w:ascii="Calibri" w:hAnsi="Calibri"/>
          <w:i/>
          <w:sz w:val="22"/>
          <w:szCs w:val="22"/>
        </w:rPr>
        <w:t xml:space="preserve"> For andre internkontrollområder, som f.eks. HMS, må man ofte ha andre tilnærminger til å vurdere behov for mer konkrete risikovurderinger. De er derfor ikke omfattet i dette eksempelet.</w:t>
      </w:r>
    </w:p>
    <w:p w14:paraId="16B530E9" w14:textId="77777777" w:rsidR="00D07FA9" w:rsidRDefault="00424574" w:rsidP="00205993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</w:t>
      </w:r>
      <w:r w:rsidR="00303C72">
        <w:rPr>
          <w:rFonts w:ascii="Calibri" w:hAnsi="Calibri"/>
          <w:i/>
          <w:sz w:val="22"/>
          <w:szCs w:val="22"/>
        </w:rPr>
        <w:t xml:space="preserve">en enkelte virksomhet </w:t>
      </w:r>
      <w:r>
        <w:rPr>
          <w:rFonts w:ascii="Calibri" w:hAnsi="Calibri"/>
          <w:i/>
          <w:sz w:val="22"/>
          <w:szCs w:val="22"/>
        </w:rPr>
        <w:t xml:space="preserve">må </w:t>
      </w:r>
      <w:r w:rsidR="00303C72">
        <w:rPr>
          <w:rFonts w:ascii="Calibri" w:hAnsi="Calibri"/>
          <w:i/>
          <w:sz w:val="22"/>
          <w:szCs w:val="22"/>
        </w:rPr>
        <w:t>selv vurdere</w:t>
      </w:r>
      <w:r>
        <w:rPr>
          <w:rFonts w:ascii="Calibri" w:hAnsi="Calibri"/>
          <w:i/>
          <w:sz w:val="22"/>
          <w:szCs w:val="22"/>
        </w:rPr>
        <w:t xml:space="preserve"> om en retningslinje som dette bør dekke både informasjonssikkerhet og kvalitet.</w:t>
      </w:r>
      <w:r w:rsidR="00985833">
        <w:rPr>
          <w:rFonts w:ascii="Calibri" w:hAnsi="Calibri"/>
          <w:i/>
          <w:sz w:val="22"/>
          <w:szCs w:val="22"/>
        </w:rPr>
        <w:t xml:space="preserve"> Det</w:t>
      </w:r>
      <w:r w:rsidR="00125EBD">
        <w:rPr>
          <w:rFonts w:ascii="Calibri" w:hAnsi="Calibri"/>
          <w:i/>
          <w:sz w:val="22"/>
          <w:szCs w:val="22"/>
        </w:rPr>
        <w:t>te</w:t>
      </w:r>
      <w:r>
        <w:rPr>
          <w:rFonts w:ascii="Calibri" w:hAnsi="Calibri"/>
          <w:i/>
          <w:sz w:val="22"/>
          <w:szCs w:val="22"/>
        </w:rPr>
        <w:t xml:space="preserve"> er spesielt viktig for d</w:t>
      </w:r>
      <w:r w:rsidR="00D07FA9">
        <w:rPr>
          <w:rFonts w:ascii="Calibri" w:hAnsi="Calibri"/>
          <w:i/>
          <w:sz w:val="22"/>
          <w:szCs w:val="22"/>
        </w:rPr>
        <w:t xml:space="preserve">e som har et formelt kvalitetssystem, f.eks. etter ISO 9001. Blir </w:t>
      </w:r>
      <w:r>
        <w:rPr>
          <w:rFonts w:ascii="Calibri" w:hAnsi="Calibri"/>
          <w:i/>
          <w:sz w:val="22"/>
          <w:szCs w:val="22"/>
        </w:rPr>
        <w:t xml:space="preserve">vurderinger som </w:t>
      </w:r>
      <w:r w:rsidR="00D07FA9">
        <w:rPr>
          <w:rFonts w:ascii="Calibri" w:hAnsi="Calibri"/>
          <w:i/>
          <w:sz w:val="22"/>
          <w:szCs w:val="22"/>
        </w:rPr>
        <w:t xml:space="preserve">dette </w:t>
      </w:r>
      <w:r w:rsidR="00985833">
        <w:rPr>
          <w:rFonts w:ascii="Calibri" w:hAnsi="Calibri"/>
          <w:i/>
          <w:sz w:val="22"/>
          <w:szCs w:val="22"/>
        </w:rPr>
        <w:t xml:space="preserve">ansett uhensiktsmessig eller </w:t>
      </w:r>
      <w:r w:rsidR="00D07FA9">
        <w:rPr>
          <w:rFonts w:ascii="Calibri" w:hAnsi="Calibri"/>
          <w:i/>
          <w:sz w:val="22"/>
          <w:szCs w:val="22"/>
        </w:rPr>
        <w:t xml:space="preserve">dekket av kvalitetssystemet ellers, bør </w:t>
      </w:r>
      <w:r w:rsidR="004413C9">
        <w:rPr>
          <w:rFonts w:ascii="Calibri" w:hAnsi="Calibri"/>
          <w:i/>
          <w:sz w:val="22"/>
          <w:szCs w:val="22"/>
        </w:rPr>
        <w:t>dokument</w:t>
      </w:r>
      <w:r w:rsidR="00125EBD">
        <w:rPr>
          <w:rFonts w:ascii="Calibri" w:hAnsi="Calibri"/>
          <w:i/>
          <w:sz w:val="22"/>
          <w:szCs w:val="22"/>
        </w:rPr>
        <w:t>et</w:t>
      </w:r>
      <w:r w:rsidR="00D07FA9">
        <w:rPr>
          <w:rFonts w:ascii="Calibri" w:hAnsi="Calibri"/>
          <w:i/>
          <w:sz w:val="22"/>
          <w:szCs w:val="22"/>
        </w:rPr>
        <w:t xml:space="preserve"> avgrenses til informasjonssikkerhet.</w:t>
      </w:r>
    </w:p>
    <w:p w14:paraId="40221A69" w14:textId="77777777" w:rsidR="00205993" w:rsidRDefault="00205993" w:rsidP="00205993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 w:rsidRPr="00205993">
        <w:rPr>
          <w:rFonts w:ascii="Calibri" w:hAnsi="Calibri"/>
          <w:i/>
          <w:sz w:val="22"/>
          <w:szCs w:val="22"/>
        </w:rPr>
        <w:t xml:space="preserve">Dersom man ønsker </w:t>
      </w:r>
      <w:r w:rsidR="00894977">
        <w:rPr>
          <w:rFonts w:ascii="Calibri" w:hAnsi="Calibri"/>
          <w:i/>
          <w:sz w:val="22"/>
          <w:szCs w:val="22"/>
        </w:rPr>
        <w:t xml:space="preserve">å avgrense </w:t>
      </w:r>
      <w:r w:rsidR="004413C9">
        <w:rPr>
          <w:rFonts w:ascii="Calibri" w:hAnsi="Calibri"/>
          <w:i/>
          <w:sz w:val="22"/>
          <w:szCs w:val="22"/>
        </w:rPr>
        <w:t>dokumentet</w:t>
      </w:r>
      <w:r w:rsidRPr="00205993">
        <w:rPr>
          <w:rFonts w:ascii="Calibri" w:hAnsi="Calibri"/>
          <w:i/>
          <w:sz w:val="22"/>
          <w:szCs w:val="22"/>
        </w:rPr>
        <w:t xml:space="preserve"> </w:t>
      </w:r>
      <w:r w:rsidR="00894977">
        <w:rPr>
          <w:rFonts w:ascii="Calibri" w:hAnsi="Calibri"/>
          <w:i/>
          <w:sz w:val="22"/>
          <w:szCs w:val="22"/>
        </w:rPr>
        <w:t xml:space="preserve">til </w:t>
      </w:r>
      <w:r w:rsidRPr="00205993">
        <w:rPr>
          <w:rFonts w:ascii="Calibri" w:hAnsi="Calibri"/>
          <w:i/>
          <w:sz w:val="22"/>
          <w:szCs w:val="22"/>
        </w:rPr>
        <w:t>kun informasjonssikkerhet</w:t>
      </w:r>
      <w:r w:rsidR="00894977">
        <w:rPr>
          <w:rFonts w:ascii="Calibri" w:hAnsi="Calibri"/>
          <w:i/>
          <w:sz w:val="22"/>
          <w:szCs w:val="22"/>
        </w:rPr>
        <w:t>,</w:t>
      </w:r>
      <w:r w:rsidRPr="00205993">
        <w:rPr>
          <w:rFonts w:ascii="Calibri" w:hAnsi="Calibri"/>
          <w:i/>
          <w:sz w:val="22"/>
          <w:szCs w:val="22"/>
        </w:rPr>
        <w:t xml:space="preserve"> kan eksempelet enkelt snevres inn ved å ta bort enkelte punkter og spisse andre.</w:t>
      </w:r>
      <w:r w:rsidR="0099395D">
        <w:rPr>
          <w:rFonts w:ascii="Calibri" w:hAnsi="Calibri"/>
          <w:i/>
          <w:sz w:val="22"/>
          <w:szCs w:val="22"/>
        </w:rPr>
        <w:t xml:space="preserve"> </w:t>
      </w:r>
      <w:r w:rsidR="00992EB8">
        <w:rPr>
          <w:rFonts w:ascii="Calibri" w:hAnsi="Calibri"/>
          <w:i/>
          <w:sz w:val="22"/>
          <w:szCs w:val="22"/>
        </w:rPr>
        <w:t xml:space="preserve">Dette er kommentert under. </w:t>
      </w:r>
      <w:r w:rsidR="00F14CE9">
        <w:rPr>
          <w:rFonts w:ascii="Calibri" w:hAnsi="Calibri"/>
          <w:i/>
          <w:sz w:val="22"/>
          <w:szCs w:val="22"/>
        </w:rPr>
        <w:t>Man bør uansett vurdere å spesifisere tittelen på dokumentet, slik at anvendelsesområdet kommer frem der. Det kan effektivisere forståelsen av når retningslinjen er relevant. Andre dok</w:t>
      </w:r>
      <w:r w:rsidR="00125EBD">
        <w:rPr>
          <w:rFonts w:ascii="Calibri" w:hAnsi="Calibri"/>
          <w:i/>
          <w:sz w:val="22"/>
          <w:szCs w:val="22"/>
        </w:rPr>
        <w:t>umenter som henviser til den, bør</w:t>
      </w:r>
      <w:r w:rsidR="00F14CE9">
        <w:rPr>
          <w:rFonts w:ascii="Calibri" w:hAnsi="Calibri"/>
          <w:i/>
          <w:sz w:val="22"/>
          <w:szCs w:val="22"/>
        </w:rPr>
        <w:t xml:space="preserve"> da også oppdateres.</w:t>
      </w:r>
      <w:r w:rsidR="009C6213">
        <w:rPr>
          <w:rFonts w:ascii="Calibri" w:hAnsi="Calibri"/>
          <w:i/>
          <w:sz w:val="22"/>
          <w:szCs w:val="22"/>
        </w:rPr>
        <w:t xml:space="preserve"> </w:t>
      </w:r>
      <w:r w:rsidR="009C6213" w:rsidRPr="009C6213">
        <w:rPr>
          <w:rFonts w:ascii="Calibri" w:hAnsi="Calibri"/>
          <w:b/>
          <w:i/>
          <w:sz w:val="22"/>
          <w:szCs w:val="22"/>
        </w:rPr>
        <w:t>De som gjenbruker sentrale deler av eksempelet, er selv ansvarlig for kvalitetssikring av innholdet og tilpasning til egen virksomhet</w:t>
      </w:r>
      <w:r w:rsidR="009C6213" w:rsidRPr="009C6213">
        <w:rPr>
          <w:rFonts w:ascii="Calibri" w:hAnsi="Calibri"/>
          <w:i/>
          <w:sz w:val="22"/>
          <w:szCs w:val="22"/>
        </w:rPr>
        <w:t>.</w:t>
      </w:r>
    </w:p>
    <w:p w14:paraId="775BF7B9" w14:textId="746852A8" w:rsidR="001F5E4C" w:rsidRDefault="001F5E4C" w:rsidP="00205993">
      <w:pPr>
        <w:shd w:val="clear" w:color="auto" w:fill="FFFF00"/>
        <w:spacing w:after="1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Gode støtteskjema og litt opplæring/veiledning er </w:t>
      </w:r>
      <w:r w:rsidR="00296218">
        <w:rPr>
          <w:rFonts w:ascii="Calibri" w:hAnsi="Calibri"/>
          <w:i/>
          <w:sz w:val="22"/>
          <w:szCs w:val="22"/>
        </w:rPr>
        <w:t>suksesskriterier</w:t>
      </w:r>
      <w:r>
        <w:rPr>
          <w:rFonts w:ascii="Calibri" w:hAnsi="Calibri"/>
          <w:i/>
          <w:sz w:val="22"/>
          <w:szCs w:val="22"/>
        </w:rPr>
        <w:t xml:space="preserve">. Det anbefales at virksomhetene prøver ut </w:t>
      </w:r>
      <w:r w:rsidR="004413C9">
        <w:rPr>
          <w:rFonts w:ascii="Calibri" w:hAnsi="Calibri"/>
          <w:i/>
          <w:sz w:val="22"/>
          <w:szCs w:val="22"/>
        </w:rPr>
        <w:t>retningslinjen og støtteskjema</w:t>
      </w:r>
      <w:r>
        <w:rPr>
          <w:rFonts w:ascii="Calibri" w:hAnsi="Calibri"/>
          <w:i/>
          <w:sz w:val="22"/>
          <w:szCs w:val="22"/>
        </w:rPr>
        <w:t xml:space="preserve"> og gjør justeringer ved behov, før retningslinjen even</w:t>
      </w:r>
      <w:r w:rsidR="00296218">
        <w:rPr>
          <w:rFonts w:ascii="Calibri" w:hAnsi="Calibri"/>
          <w:i/>
          <w:sz w:val="22"/>
          <w:szCs w:val="22"/>
        </w:rPr>
        <w:t>tuelt vedtas for hele virksomheten.</w:t>
      </w:r>
      <w:r w:rsidR="00EA6EDC">
        <w:rPr>
          <w:rFonts w:ascii="Calibri" w:hAnsi="Calibri"/>
          <w:i/>
          <w:sz w:val="22"/>
          <w:szCs w:val="22"/>
        </w:rPr>
        <w:t xml:space="preserve"> Et forslag til støtteskjema er tilgjengelig fra </w:t>
      </w:r>
      <w:r w:rsidR="0007617F">
        <w:rPr>
          <w:rFonts w:ascii="Calibri" w:hAnsi="Calibri"/>
          <w:i/>
          <w:sz w:val="22"/>
          <w:szCs w:val="22"/>
        </w:rPr>
        <w:t xml:space="preserve">Digitaliseringsdirektoratet </w:t>
      </w:r>
      <w:r w:rsidR="00EA6EDC">
        <w:rPr>
          <w:rFonts w:ascii="Calibri" w:hAnsi="Calibri"/>
          <w:i/>
          <w:sz w:val="22"/>
          <w:szCs w:val="22"/>
        </w:rPr>
        <w:t>som mal.</w:t>
      </w:r>
      <w:r w:rsidR="00847BC3">
        <w:rPr>
          <w:rFonts w:ascii="Calibri" w:hAnsi="Calibri"/>
          <w:i/>
          <w:sz w:val="22"/>
          <w:szCs w:val="22"/>
        </w:rPr>
        <w:t>)</w:t>
      </w:r>
    </w:p>
    <w:p w14:paraId="1E3B5C49" w14:textId="77777777" w:rsidR="005B1F45" w:rsidRPr="005B1F45" w:rsidRDefault="005B1F45" w:rsidP="005B1F45">
      <w:pPr>
        <w:pStyle w:val="Overskriftforinnholdsfortegnelse"/>
        <w:numPr>
          <w:ilvl w:val="0"/>
          <w:numId w:val="0"/>
        </w:numPr>
        <w:ind w:left="357" w:hanging="357"/>
        <w:rPr>
          <w:rFonts w:ascii="Times New Roman" w:hAnsi="Times New Roman"/>
          <w:b w:val="0"/>
        </w:rPr>
      </w:pPr>
      <w:r w:rsidRPr="005B1F45">
        <w:rPr>
          <w:rFonts w:ascii="Times New Roman" w:hAnsi="Times New Roman"/>
          <w:b w:val="0"/>
        </w:rPr>
        <w:t>Innhold</w:t>
      </w:r>
    </w:p>
    <w:p w14:paraId="66501B88" w14:textId="77777777" w:rsidR="007D0E99" w:rsidRDefault="005B1F45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5057952" w:history="1">
        <w:r w:rsidR="007D0E99" w:rsidRPr="00450139">
          <w:rPr>
            <w:rStyle w:val="Hyperkobling"/>
            <w:noProof/>
          </w:rPr>
          <w:t>1.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Innledning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_Toc485057952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1</w:t>
        </w:r>
        <w:r w:rsidR="007D0E99">
          <w:rPr>
            <w:noProof/>
            <w:webHidden/>
          </w:rPr>
          <w:fldChar w:fldCharType="end"/>
        </w:r>
      </w:hyperlink>
    </w:p>
    <w:p w14:paraId="2A3D2765" w14:textId="77777777" w:rsidR="007D0E99" w:rsidRDefault="00660CAC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53" w:history="1">
        <w:r w:rsidR="007D0E99" w:rsidRPr="00450139">
          <w:rPr>
            <w:rStyle w:val="Hyperkobling"/>
            <w:noProof/>
          </w:rPr>
          <w:t>1.1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Målgruppe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_Toc485057953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1</w:t>
        </w:r>
        <w:r w:rsidR="007D0E99">
          <w:rPr>
            <w:noProof/>
            <w:webHidden/>
          </w:rPr>
          <w:fldChar w:fldCharType="end"/>
        </w:r>
      </w:hyperlink>
    </w:p>
    <w:p w14:paraId="071D1241" w14:textId="77777777" w:rsidR="007D0E99" w:rsidRDefault="00660CAC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54" w:history="1">
        <w:r w:rsidR="007D0E99" w:rsidRPr="00450139">
          <w:rPr>
            <w:rStyle w:val="Hyperkobling"/>
            <w:noProof/>
          </w:rPr>
          <w:t>1.2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Formål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_Toc485057954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2</w:t>
        </w:r>
        <w:r w:rsidR="007D0E99">
          <w:rPr>
            <w:noProof/>
            <w:webHidden/>
          </w:rPr>
          <w:fldChar w:fldCharType="end"/>
        </w:r>
      </w:hyperlink>
    </w:p>
    <w:p w14:paraId="015202D0" w14:textId="77777777" w:rsidR="007D0E99" w:rsidRDefault="00660CAC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55" w:history="1">
        <w:r w:rsidR="007D0E99" w:rsidRPr="00450139">
          <w:rPr>
            <w:rStyle w:val="Hyperkobling"/>
            <w:noProof/>
          </w:rPr>
          <w:t>1.3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Relaterte policyer og retningslinjer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_Toc485057955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2</w:t>
        </w:r>
        <w:r w:rsidR="007D0E99">
          <w:rPr>
            <w:noProof/>
            <w:webHidden/>
          </w:rPr>
          <w:fldChar w:fldCharType="end"/>
        </w:r>
      </w:hyperlink>
    </w:p>
    <w:p w14:paraId="424285B5" w14:textId="77777777" w:rsidR="007D0E99" w:rsidRDefault="00660CAC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56" w:history="1">
        <w:r w:rsidR="007D0E99" w:rsidRPr="00450139">
          <w:rPr>
            <w:rStyle w:val="Hyperkobling"/>
            <w:noProof/>
          </w:rPr>
          <w:t>2.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Gjennomføring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_Toc485057956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2</w:t>
        </w:r>
        <w:r w:rsidR="007D0E99">
          <w:rPr>
            <w:noProof/>
            <w:webHidden/>
          </w:rPr>
          <w:fldChar w:fldCharType="end"/>
        </w:r>
      </w:hyperlink>
    </w:p>
    <w:p w14:paraId="0D1047AD" w14:textId="77777777" w:rsidR="007D0E99" w:rsidRDefault="00660CAC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57" w:history="1">
        <w:r w:rsidR="007D0E99" w:rsidRPr="00450139">
          <w:rPr>
            <w:rStyle w:val="Hyperkobling"/>
            <w:noProof/>
          </w:rPr>
          <w:t>2.1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Foranalyse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_Toc485057957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2</w:t>
        </w:r>
        <w:r w:rsidR="007D0E99">
          <w:rPr>
            <w:noProof/>
            <w:webHidden/>
          </w:rPr>
          <w:fldChar w:fldCharType="end"/>
        </w:r>
      </w:hyperlink>
    </w:p>
    <w:p w14:paraId="449A6B66" w14:textId="77777777" w:rsidR="007D0E99" w:rsidRDefault="00660CAC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58" w:history="1">
        <w:r w:rsidR="007D0E99" w:rsidRPr="00450139">
          <w:rPr>
            <w:rStyle w:val="Hyperkobling"/>
            <w:noProof/>
          </w:rPr>
          <w:t>2.2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Gruppere og dele opp ansvarsområdet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_Toc485057958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2</w:t>
        </w:r>
        <w:r w:rsidR="007D0E99">
          <w:rPr>
            <w:noProof/>
            <w:webHidden/>
          </w:rPr>
          <w:fldChar w:fldCharType="end"/>
        </w:r>
      </w:hyperlink>
    </w:p>
    <w:p w14:paraId="731700B1" w14:textId="77777777" w:rsidR="007D0E99" w:rsidRDefault="00660CAC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60" w:history="1">
        <w:r w:rsidR="007D0E99" w:rsidRPr="00450139">
          <w:rPr>
            <w:rStyle w:val="Hyperkobling"/>
            <w:noProof/>
          </w:rPr>
          <w:t>2.3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Avdekke usikkerhet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_Toc485057960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2</w:t>
        </w:r>
        <w:r w:rsidR="007D0E99">
          <w:rPr>
            <w:noProof/>
            <w:webHidden/>
          </w:rPr>
          <w:fldChar w:fldCharType="end"/>
        </w:r>
      </w:hyperlink>
    </w:p>
    <w:p w14:paraId="548281EE" w14:textId="77777777" w:rsidR="007D0E99" w:rsidRDefault="00660CAC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61" w:history="1">
        <w:r w:rsidR="007D0E99" w:rsidRPr="00450139">
          <w:rPr>
            <w:rStyle w:val="Hyperkobling"/>
            <w:noProof/>
          </w:rPr>
          <w:t>2.4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Ta beslutning ut fra beslutningskriteriene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_Toc485057961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3</w:t>
        </w:r>
        <w:r w:rsidR="007D0E99">
          <w:rPr>
            <w:noProof/>
            <w:webHidden/>
          </w:rPr>
          <w:fldChar w:fldCharType="end"/>
        </w:r>
      </w:hyperlink>
    </w:p>
    <w:p w14:paraId="2DBF7C93" w14:textId="77777777" w:rsidR="007D0E99" w:rsidRDefault="00660CAC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62" w:history="1">
        <w:r w:rsidR="007D0E99" w:rsidRPr="00450139">
          <w:rPr>
            <w:rStyle w:val="Hyperkobling"/>
            <w:noProof/>
          </w:rPr>
          <w:t>3.</w:t>
        </w:r>
        <w:r w:rsidR="007D0E99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7D0E99" w:rsidRPr="00450139">
          <w:rPr>
            <w:rStyle w:val="Hyperkobling"/>
            <w:noProof/>
          </w:rPr>
          <w:t>Dokumentere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_Toc485057962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3</w:t>
        </w:r>
        <w:r w:rsidR="007D0E99">
          <w:rPr>
            <w:noProof/>
            <w:webHidden/>
          </w:rPr>
          <w:fldChar w:fldCharType="end"/>
        </w:r>
      </w:hyperlink>
    </w:p>
    <w:p w14:paraId="261AE992" w14:textId="77777777" w:rsidR="007D0E99" w:rsidRDefault="00660CA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63" w:history="1">
        <w:r w:rsidR="007D0E99" w:rsidRPr="00450139">
          <w:rPr>
            <w:rStyle w:val="Hyperkobling"/>
            <w:noProof/>
          </w:rPr>
          <w:t>Vedlegg A: Støttespørsmål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_Toc485057963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4</w:t>
        </w:r>
        <w:r w:rsidR="007D0E99">
          <w:rPr>
            <w:noProof/>
            <w:webHidden/>
          </w:rPr>
          <w:fldChar w:fldCharType="end"/>
        </w:r>
      </w:hyperlink>
    </w:p>
    <w:p w14:paraId="717F5B88" w14:textId="77777777" w:rsidR="007D0E99" w:rsidRDefault="00660CA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5057964" w:history="1">
        <w:r w:rsidR="007D0E99" w:rsidRPr="00450139">
          <w:rPr>
            <w:rStyle w:val="Hyperkobling"/>
            <w:noProof/>
          </w:rPr>
          <w:t>Vedlegg B: Beslutningskriterier</w:t>
        </w:r>
        <w:r w:rsidR="007D0E99">
          <w:rPr>
            <w:noProof/>
            <w:webHidden/>
          </w:rPr>
          <w:tab/>
        </w:r>
        <w:r w:rsidR="007D0E99">
          <w:rPr>
            <w:noProof/>
            <w:webHidden/>
          </w:rPr>
          <w:fldChar w:fldCharType="begin"/>
        </w:r>
        <w:r w:rsidR="007D0E99">
          <w:rPr>
            <w:noProof/>
            <w:webHidden/>
          </w:rPr>
          <w:instrText xml:space="preserve"> PAGEREF _Toc485057964 \h </w:instrText>
        </w:r>
        <w:r w:rsidR="007D0E99">
          <w:rPr>
            <w:noProof/>
            <w:webHidden/>
          </w:rPr>
        </w:r>
        <w:r w:rsidR="007D0E99">
          <w:rPr>
            <w:noProof/>
            <w:webHidden/>
          </w:rPr>
          <w:fldChar w:fldCharType="separate"/>
        </w:r>
        <w:r w:rsidR="007D0E99">
          <w:rPr>
            <w:noProof/>
            <w:webHidden/>
          </w:rPr>
          <w:t>5</w:t>
        </w:r>
        <w:r w:rsidR="007D0E99">
          <w:rPr>
            <w:noProof/>
            <w:webHidden/>
          </w:rPr>
          <w:fldChar w:fldCharType="end"/>
        </w:r>
      </w:hyperlink>
    </w:p>
    <w:p w14:paraId="3DE753E9" w14:textId="77777777" w:rsidR="005B1F45" w:rsidRDefault="005B1F45">
      <w:r>
        <w:rPr>
          <w:b/>
          <w:bCs/>
        </w:rPr>
        <w:fldChar w:fldCharType="end"/>
      </w:r>
    </w:p>
    <w:p w14:paraId="6E8AF3DF" w14:textId="77777777" w:rsidR="000D0A7B" w:rsidRDefault="000D0A7B" w:rsidP="007F0B02">
      <w:pPr>
        <w:pStyle w:val="Overskrift1"/>
      </w:pPr>
      <w:bookmarkStart w:id="7" w:name="_Toc485057952"/>
      <w:r>
        <w:t>Innledning</w:t>
      </w:r>
      <w:bookmarkEnd w:id="7"/>
    </w:p>
    <w:p w14:paraId="63BAB73B" w14:textId="77777777" w:rsidR="000D0A7B" w:rsidRPr="00886626" w:rsidRDefault="000D0A7B" w:rsidP="000D0A7B">
      <w:pPr>
        <w:pStyle w:val="Overskrift2"/>
      </w:pPr>
      <w:bookmarkStart w:id="8" w:name="_Toc461636295"/>
      <w:bookmarkStart w:id="9" w:name="_Toc465016668"/>
      <w:bookmarkStart w:id="10" w:name="_Toc485057953"/>
      <w:r w:rsidRPr="00886626">
        <w:t>Målgruppe</w:t>
      </w:r>
      <w:bookmarkEnd w:id="8"/>
      <w:bookmarkEnd w:id="9"/>
      <w:bookmarkEnd w:id="10"/>
    </w:p>
    <w:p w14:paraId="0D145124" w14:textId="2740793F" w:rsidR="00A672FF" w:rsidRDefault="00A672FF" w:rsidP="007468E6">
      <w:r>
        <w:t xml:space="preserve">Dette dokumentet er en del av virksomhetens styrende dokumenter. </w:t>
      </w:r>
      <w:r w:rsidR="000D0A7B">
        <w:t xml:space="preserve">Målgruppen er </w:t>
      </w:r>
    </w:p>
    <w:p w14:paraId="5F798B79" w14:textId="77777777" w:rsidR="007468E6" w:rsidRDefault="00B848B5" w:rsidP="00985833">
      <w:pPr>
        <w:numPr>
          <w:ilvl w:val="0"/>
          <w:numId w:val="10"/>
        </w:numPr>
        <w:ind w:left="714" w:hanging="357"/>
      </w:pPr>
      <w:r>
        <w:t xml:space="preserve">Risikoeiere, dvs. </w:t>
      </w:r>
      <w:r w:rsidR="007468E6">
        <w:t xml:space="preserve">ledere med ansvar </w:t>
      </w:r>
      <w:r w:rsidR="00A672FF">
        <w:t xml:space="preserve">for </w:t>
      </w:r>
      <w:r w:rsidR="007468E6" w:rsidRPr="007468E6">
        <w:t>op</w:t>
      </w:r>
      <w:r w:rsidR="007468E6">
        <w:t>pg</w:t>
      </w:r>
      <w:r w:rsidR="007F17E5">
        <w:t>aveløsning, tjenesteutføring og egne IKT-system</w:t>
      </w:r>
    </w:p>
    <w:p w14:paraId="54E8800A" w14:textId="77777777" w:rsidR="007468E6" w:rsidRDefault="000D0A7B" w:rsidP="00985833">
      <w:pPr>
        <w:numPr>
          <w:ilvl w:val="0"/>
          <w:numId w:val="10"/>
        </w:numPr>
        <w:spacing w:after="120"/>
      </w:pPr>
      <w:r>
        <w:lastRenderedPageBreak/>
        <w:t>systemeier</w:t>
      </w:r>
      <w:r w:rsidR="00AE75CB">
        <w:t>e for fellessystem</w:t>
      </w:r>
      <w:r w:rsidR="007F17E5">
        <w:rPr>
          <w:rStyle w:val="Fotnotereferanse"/>
        </w:rPr>
        <w:footnoteReference w:id="1"/>
      </w:r>
      <w:r w:rsidR="00AE75CB">
        <w:t xml:space="preserve">. </w:t>
      </w:r>
    </w:p>
    <w:p w14:paraId="4BA8EFDA" w14:textId="77777777" w:rsidR="00285AC7" w:rsidRPr="007F0B02" w:rsidRDefault="00285AC7" w:rsidP="00A672FF">
      <w:pPr>
        <w:pStyle w:val="Overskrift2"/>
        <w:ind w:left="357" w:hanging="357"/>
      </w:pPr>
      <w:bookmarkStart w:id="11" w:name="_Toc485057954"/>
      <w:r w:rsidRPr="007F0B02">
        <w:t>Formål</w:t>
      </w:r>
      <w:bookmarkEnd w:id="5"/>
      <w:bookmarkEnd w:id="6"/>
      <w:bookmarkEnd w:id="11"/>
    </w:p>
    <w:p w14:paraId="2B0666F2" w14:textId="77777777" w:rsidR="00161759" w:rsidRDefault="00285AC7" w:rsidP="00503576">
      <w:pPr>
        <w:spacing w:after="160"/>
      </w:pPr>
      <w:r>
        <w:t>Formålet er å gi føringer for hvordan man skal gå frem for å avgjøre behovet for nye eller oppdaterte risikovurderinger</w:t>
      </w:r>
      <w:r w:rsidR="00831270">
        <w:t xml:space="preserve"> </w:t>
      </w:r>
      <w:r w:rsidR="002A489F">
        <w:t>på operativt nivå</w:t>
      </w:r>
      <w:r w:rsidR="0099395D">
        <w:t xml:space="preserve"> innen informasjonssikkerhet og kvalitet</w:t>
      </w:r>
      <w:r w:rsidR="00F00B0E">
        <w:t>.</w:t>
      </w:r>
      <w:r w:rsidR="00F00B0E" w:rsidRPr="00F00B0E">
        <w:t xml:space="preserve"> </w:t>
      </w:r>
      <w:r w:rsidR="0099395D">
        <w:rPr>
          <w:highlight w:val="yellow"/>
        </w:rPr>
        <w:t>(A</w:t>
      </w:r>
      <w:r w:rsidR="0099395D" w:rsidRPr="000D6AEA">
        <w:rPr>
          <w:highlight w:val="yellow"/>
        </w:rPr>
        <w:t xml:space="preserve">lternativt at </w:t>
      </w:r>
      <w:r w:rsidR="00AE75CB">
        <w:rPr>
          <w:highlight w:val="yellow"/>
        </w:rPr>
        <w:t>dokumentet</w:t>
      </w:r>
      <w:r w:rsidR="0099395D" w:rsidRPr="000D6AEA">
        <w:rPr>
          <w:highlight w:val="yellow"/>
        </w:rPr>
        <w:t xml:space="preserve"> kun gjelder informasjonssikkerhet - dersom det er ønskelig.)</w:t>
      </w:r>
    </w:p>
    <w:p w14:paraId="2FA82935" w14:textId="77777777" w:rsidR="00285AC7" w:rsidRDefault="00F00B0E" w:rsidP="00503576">
      <w:pPr>
        <w:spacing w:after="160"/>
      </w:pPr>
      <w:r>
        <w:t>Operative risikoer omfatter uønskede hendelser og konsekvenser i den operative utfø</w:t>
      </w:r>
      <w:r w:rsidR="0099395D">
        <w:t>ringen av oppgaver og tjenester.</w:t>
      </w:r>
    </w:p>
    <w:p w14:paraId="6141A12E" w14:textId="77777777" w:rsidR="00A36D05" w:rsidRDefault="00A36D05" w:rsidP="000D0A7B">
      <w:pPr>
        <w:pStyle w:val="Overskrift2"/>
      </w:pPr>
      <w:bookmarkStart w:id="12" w:name="_Toc461636296"/>
      <w:bookmarkStart w:id="13" w:name="_Toc465016669"/>
      <w:bookmarkStart w:id="14" w:name="_Toc485057955"/>
      <w:r>
        <w:t>Relaterte policyer og retningsl</w:t>
      </w:r>
      <w:r w:rsidR="00FA4EF9">
        <w:t>i</w:t>
      </w:r>
      <w:r>
        <w:t>njer</w:t>
      </w:r>
      <w:bookmarkEnd w:id="12"/>
      <w:bookmarkEnd w:id="13"/>
      <w:bookmarkEnd w:id="14"/>
    </w:p>
    <w:p w14:paraId="2DD15421" w14:textId="77777777" w:rsidR="00A36D05" w:rsidRDefault="00125EBD" w:rsidP="00503576">
      <w:r>
        <w:t>Dokumentet</w:t>
      </w:r>
      <w:r w:rsidR="00A36D05">
        <w:t xml:space="preserve"> må sees i sammenheng med følgende</w:t>
      </w:r>
      <w:r>
        <w:t xml:space="preserve"> retningslinjer</w:t>
      </w:r>
      <w:r w:rsidR="00A36D05">
        <w:t>:</w:t>
      </w:r>
    </w:p>
    <w:p w14:paraId="5295377A" w14:textId="67A50730" w:rsidR="009E0E0B" w:rsidRDefault="00967095" w:rsidP="00985833">
      <w:pPr>
        <w:numPr>
          <w:ilvl w:val="0"/>
          <w:numId w:val="4"/>
        </w:numPr>
      </w:pPr>
      <w:r w:rsidRPr="00967095">
        <w:t>Roller og ansvar</w:t>
      </w:r>
    </w:p>
    <w:p w14:paraId="417E13B8" w14:textId="4B39EA3E" w:rsidR="00A36D05" w:rsidRDefault="00A36D05" w:rsidP="00985833">
      <w:pPr>
        <w:numPr>
          <w:ilvl w:val="0"/>
          <w:numId w:val="4"/>
        </w:numPr>
        <w:ind w:hanging="357"/>
      </w:pPr>
      <w:r>
        <w:t xml:space="preserve">Forstå, </w:t>
      </w:r>
      <w:r w:rsidR="00F50BD1">
        <w:t>vurdere</w:t>
      </w:r>
      <w:r>
        <w:t xml:space="preserve"> og håndter</w:t>
      </w:r>
      <w:r w:rsidR="00F50BD1">
        <w:t>e</w:t>
      </w:r>
      <w:r>
        <w:t xml:space="preserve"> risiko</w:t>
      </w:r>
    </w:p>
    <w:p w14:paraId="1CC74FDD" w14:textId="77777777" w:rsidR="00CD06BF" w:rsidRDefault="00CD06BF" w:rsidP="007F0B02">
      <w:pPr>
        <w:pStyle w:val="Overskrift1"/>
      </w:pPr>
      <w:bookmarkStart w:id="15" w:name="_Toc461636297"/>
      <w:bookmarkStart w:id="16" w:name="_Toc465016670"/>
      <w:bookmarkStart w:id="17" w:name="_Toc485057956"/>
      <w:r>
        <w:t>Gjennomføring</w:t>
      </w:r>
      <w:bookmarkEnd w:id="15"/>
      <w:bookmarkEnd w:id="16"/>
      <w:bookmarkEnd w:id="17"/>
    </w:p>
    <w:p w14:paraId="254F98D8" w14:textId="77777777" w:rsidR="00B848B5" w:rsidRDefault="00B848B5" w:rsidP="00A65045">
      <w:pPr>
        <w:pStyle w:val="Overskrift2"/>
      </w:pPr>
      <w:bookmarkStart w:id="18" w:name="_Toc485057957"/>
      <w:bookmarkStart w:id="19" w:name="_Toc461636298"/>
      <w:bookmarkStart w:id="20" w:name="_Toc465016671"/>
      <w:r>
        <w:t>Foranalyse</w:t>
      </w:r>
      <w:bookmarkEnd w:id="18"/>
      <w:r w:rsidR="007D0E99">
        <w:t xml:space="preserve"> av eget ansvarsområde</w:t>
      </w:r>
    </w:p>
    <w:p w14:paraId="79A75BD9" w14:textId="77777777" w:rsidR="00BC57A8" w:rsidRDefault="00B848B5" w:rsidP="0088654F">
      <w:pPr>
        <w:spacing w:after="160"/>
      </w:pPr>
      <w:r>
        <w:t xml:space="preserve">Alle risikoeiere </w:t>
      </w:r>
      <w:r w:rsidR="00651CAA">
        <w:t>skal</w:t>
      </w:r>
      <w:r>
        <w:t xml:space="preserve"> utføre en foranalyse av eget ansvarsområde. Den bør omfatte både arbeidsoppgaver som utføres, informasjonen som behandles i oppgavene, IKT-system som benyttes og sentrale trusler, farer og sårbarheter. </w:t>
      </w:r>
    </w:p>
    <w:p w14:paraId="247B9BAE" w14:textId="77777777" w:rsidR="00B848B5" w:rsidRDefault="00B848B5" w:rsidP="0088654F">
      <w:pPr>
        <w:spacing w:after="160"/>
      </w:pPr>
      <w:r>
        <w:t xml:space="preserve">Dersom foranalysen gjennomføres i ledergruppen over operativt nivå, vil det redusere omfanget av foranalyser og forenkle gjennomføringen. </w:t>
      </w:r>
      <w:r w:rsidR="00BC57A8">
        <w:t>Eventuell s</w:t>
      </w:r>
      <w:r w:rsidR="00651CAA">
        <w:t>lik organisering avgjøres av de enkelte organisatoriske enhetene.</w:t>
      </w:r>
    </w:p>
    <w:p w14:paraId="351021D3" w14:textId="77777777" w:rsidR="00B848B5" w:rsidRDefault="00B848B5" w:rsidP="0088654F">
      <w:pPr>
        <w:spacing w:after="160"/>
      </w:pPr>
      <w:r>
        <w:t>Systemeiere for fellessystem bør få utført en forenklet foranalyse for fellessystemene de har ansvaret for. Disse bør baseres på foranalysene til risikoeierne.</w:t>
      </w:r>
    </w:p>
    <w:p w14:paraId="46EE7DA9" w14:textId="77777777" w:rsidR="009E0EF1" w:rsidRPr="00A65045" w:rsidRDefault="003F4A7D" w:rsidP="00A65045">
      <w:pPr>
        <w:pStyle w:val="Overskrift2"/>
      </w:pPr>
      <w:bookmarkStart w:id="21" w:name="_Ref485057344"/>
      <w:bookmarkStart w:id="22" w:name="_Toc485057958"/>
      <w:r>
        <w:t>Gruppere og d</w:t>
      </w:r>
      <w:r w:rsidR="009E0EF1" w:rsidRPr="00A65045">
        <w:t>ele opp</w:t>
      </w:r>
      <w:bookmarkEnd w:id="19"/>
      <w:bookmarkEnd w:id="20"/>
      <w:bookmarkEnd w:id="21"/>
      <w:bookmarkEnd w:id="22"/>
    </w:p>
    <w:p w14:paraId="46578659" w14:textId="77777777" w:rsidR="00BC57A8" w:rsidRPr="00F8367F" w:rsidRDefault="00BC57A8" w:rsidP="0088654F">
      <w:pPr>
        <w:spacing w:after="160"/>
      </w:pPr>
      <w:r>
        <w:t xml:space="preserve">Et ansvarsområde </w:t>
      </w:r>
      <w:r w:rsidRPr="00CB415E">
        <w:t xml:space="preserve">kan være enkelt og oversiktlig eller stort og komplekst. </w:t>
      </w:r>
      <w:r w:rsidR="00DD21EA">
        <w:t>Når man skal avgjøre hvor og om det er behov for grundigere risikovurderinge</w:t>
      </w:r>
      <w:r w:rsidR="00F45ED8">
        <w:t xml:space="preserve">r, </w:t>
      </w:r>
      <w:r w:rsidRPr="00CB415E">
        <w:t xml:space="preserve">vil </w:t>
      </w:r>
      <w:r w:rsidR="00F45ED8">
        <w:t xml:space="preserve">det </w:t>
      </w:r>
      <w:r w:rsidRPr="00CB415E">
        <w:t xml:space="preserve">ofte være hensiktsmessig eller nødvendig å slå noe sammen i større grupper </w:t>
      </w:r>
      <w:r>
        <w:t xml:space="preserve">eller </w:t>
      </w:r>
      <w:r w:rsidRPr="00CB415E">
        <w:t xml:space="preserve">dele </w:t>
      </w:r>
      <w:r>
        <w:t xml:space="preserve">det </w:t>
      </w:r>
      <w:r w:rsidRPr="00CB415E">
        <w:t xml:space="preserve">opp i delområder Vi kaller det </w:t>
      </w:r>
      <w:r>
        <w:t xml:space="preserve">å gruppere og dele opp. </w:t>
      </w:r>
    </w:p>
    <w:p w14:paraId="26C9E8E3" w14:textId="77777777" w:rsidR="00BC57A8" w:rsidRDefault="00BC57A8" w:rsidP="00503576">
      <w:pPr>
        <w:spacing w:after="160"/>
        <w:rPr>
          <w:lang w:eastAsia="nb-NO"/>
        </w:rPr>
      </w:pPr>
      <w:r>
        <w:t>På bakgrunn av foranalysen skal d</w:t>
      </w:r>
      <w:r w:rsidR="00CD06BF">
        <w:t xml:space="preserve">en ansvarlige vurdere om </w:t>
      </w:r>
      <w:r w:rsidR="00EF38D0">
        <w:t xml:space="preserve">enkelthet, </w:t>
      </w:r>
      <w:r w:rsidR="00CD06BF">
        <w:t>kompleksitet</w:t>
      </w:r>
      <w:r w:rsidR="003F4A7D">
        <w:t>, rutiner, kompetanse</w:t>
      </w:r>
      <w:r w:rsidR="00CD06BF">
        <w:t xml:space="preserve"> eller andre forhold gjør at </w:t>
      </w:r>
      <w:r w:rsidR="00EF38D0">
        <w:t xml:space="preserve">arbeidsoppgavene og IKT-systemene </w:t>
      </w:r>
      <w:r w:rsidR="00032309">
        <w:t xml:space="preserve">man har ansvaret for </w:t>
      </w:r>
      <w:r w:rsidR="00EF38D0">
        <w:t xml:space="preserve">kan og bør </w:t>
      </w:r>
      <w:r w:rsidRPr="00CB415E">
        <w:rPr>
          <w:lang w:eastAsia="nb-NO"/>
        </w:rPr>
        <w:t>slå</w:t>
      </w:r>
      <w:r w:rsidR="00EF38D0">
        <w:rPr>
          <w:lang w:eastAsia="nb-NO"/>
        </w:rPr>
        <w:t>s</w:t>
      </w:r>
      <w:r w:rsidRPr="00CB415E">
        <w:rPr>
          <w:lang w:eastAsia="nb-NO"/>
        </w:rPr>
        <w:t xml:space="preserve"> sammen i større grupper </w:t>
      </w:r>
      <w:r>
        <w:rPr>
          <w:lang w:eastAsia="nb-NO"/>
        </w:rPr>
        <w:t xml:space="preserve">eller </w:t>
      </w:r>
      <w:r w:rsidRPr="00CB415E">
        <w:rPr>
          <w:lang w:eastAsia="nb-NO"/>
        </w:rPr>
        <w:t>dele</w:t>
      </w:r>
      <w:r w:rsidR="00EF38D0">
        <w:rPr>
          <w:lang w:eastAsia="nb-NO"/>
        </w:rPr>
        <w:t>s</w:t>
      </w:r>
      <w:r w:rsidRPr="00CB415E">
        <w:rPr>
          <w:lang w:eastAsia="nb-NO"/>
        </w:rPr>
        <w:t xml:space="preserve"> opp i delområder</w:t>
      </w:r>
      <w:r w:rsidR="00EF38D0">
        <w:rPr>
          <w:lang w:eastAsia="nb-NO"/>
        </w:rPr>
        <w:t>.</w:t>
      </w:r>
    </w:p>
    <w:p w14:paraId="2AF81D2A" w14:textId="77777777" w:rsidR="009E0EF1" w:rsidRDefault="00A36D05" w:rsidP="00A65045">
      <w:pPr>
        <w:pStyle w:val="Overskrift2"/>
      </w:pPr>
      <w:bookmarkStart w:id="23" w:name="_Toc485057813"/>
      <w:bookmarkStart w:id="24" w:name="_Toc485057959"/>
      <w:bookmarkStart w:id="25" w:name="_Toc461636299"/>
      <w:bookmarkStart w:id="26" w:name="_Toc465016672"/>
      <w:bookmarkStart w:id="27" w:name="_Ref485057531"/>
      <w:bookmarkStart w:id="28" w:name="_Toc485057960"/>
      <w:bookmarkEnd w:id="23"/>
      <w:bookmarkEnd w:id="24"/>
      <w:r>
        <w:t>Avdekke usikkerhet</w:t>
      </w:r>
      <w:bookmarkEnd w:id="25"/>
      <w:bookmarkEnd w:id="26"/>
      <w:bookmarkEnd w:id="27"/>
      <w:bookmarkEnd w:id="28"/>
      <w:r w:rsidR="007D0E99">
        <w:t xml:space="preserve"> for hvert delområde</w:t>
      </w:r>
    </w:p>
    <w:p w14:paraId="0B839FCA" w14:textId="77777777" w:rsidR="00774BEA" w:rsidRDefault="00AC6FEB" w:rsidP="00503576">
      <w:pPr>
        <w:spacing w:after="160"/>
      </w:pPr>
      <w:r>
        <w:t xml:space="preserve">For hvert delområde </w:t>
      </w:r>
      <w:r w:rsidR="00BB489B">
        <w:t xml:space="preserve">fra pkt. </w:t>
      </w:r>
      <w:r w:rsidR="005960CA">
        <w:fldChar w:fldCharType="begin"/>
      </w:r>
      <w:r w:rsidR="005960CA">
        <w:instrText xml:space="preserve"> REF _Ref485057344 \r \h </w:instrText>
      </w:r>
      <w:r w:rsidR="005960CA">
        <w:fldChar w:fldCharType="separate"/>
      </w:r>
      <w:r w:rsidR="005960CA">
        <w:t>2.2</w:t>
      </w:r>
      <w:r w:rsidR="005960CA">
        <w:fldChar w:fldCharType="end"/>
      </w:r>
      <w:r w:rsidR="00BB489B">
        <w:t xml:space="preserve"> </w:t>
      </w:r>
      <w:r>
        <w:t xml:space="preserve">skal den ansvarlige gå gjennom støttespørsmålene i </w:t>
      </w:r>
      <w:r w:rsidR="00733505">
        <w:t>vedlegg A</w:t>
      </w:r>
      <w:r w:rsidR="0007476B">
        <w:t xml:space="preserve">. </w:t>
      </w:r>
      <w:r w:rsidR="00581AE1">
        <w:t>Spørsmålene skal relateres</w:t>
      </w:r>
      <w:r>
        <w:t xml:space="preserve"> til det aktuelle </w:t>
      </w:r>
      <w:r w:rsidR="00E72444">
        <w:t xml:space="preserve">området eller </w:t>
      </w:r>
      <w:r w:rsidR="00C412B7">
        <w:t>del</w:t>
      </w:r>
      <w:r>
        <w:t>området. S</w:t>
      </w:r>
      <w:r w:rsidR="002D779A">
        <w:t>pørsmålslisten</w:t>
      </w:r>
      <w:r>
        <w:t xml:space="preserve"> er ikke u</w:t>
      </w:r>
      <w:r w:rsidR="002E0E7C">
        <w:t>ttømm</w:t>
      </w:r>
      <w:r w:rsidR="00AE73DE">
        <w:t>ende</w:t>
      </w:r>
      <w:r>
        <w:t xml:space="preserve">. </w:t>
      </w:r>
      <w:r w:rsidR="00774BEA">
        <w:t>Den ansvarlige skal supplere med andre spørsmål og vurderinger der hun finner det relevant.</w:t>
      </w:r>
    </w:p>
    <w:p w14:paraId="5395BF74" w14:textId="77777777" w:rsidR="00856BE8" w:rsidRDefault="0099395D" w:rsidP="00F00B0E">
      <w:pPr>
        <w:keepNext/>
      </w:pPr>
      <w:r>
        <w:t>M</w:t>
      </w:r>
      <w:r w:rsidR="00774BEA" w:rsidRPr="009626A1">
        <w:t xml:space="preserve">ålet </w:t>
      </w:r>
      <w:r w:rsidR="00A36D05" w:rsidRPr="009626A1">
        <w:t xml:space="preserve">med støttespørsmålene </w:t>
      </w:r>
      <w:r w:rsidR="00774BEA" w:rsidRPr="009626A1">
        <w:t xml:space="preserve">er å </w:t>
      </w:r>
    </w:p>
    <w:p w14:paraId="32DEB263" w14:textId="77777777" w:rsidR="00856BE8" w:rsidRDefault="00760ED5" w:rsidP="00985833">
      <w:pPr>
        <w:numPr>
          <w:ilvl w:val="0"/>
          <w:numId w:val="9"/>
        </w:numPr>
      </w:pPr>
      <w:r>
        <w:t>avdekke</w:t>
      </w:r>
      <w:r w:rsidR="00856BE8">
        <w:t xml:space="preserve"> </w:t>
      </w:r>
      <w:r w:rsidR="000F231E">
        <w:t>høyeste</w:t>
      </w:r>
      <w:r w:rsidR="00856BE8">
        <w:t xml:space="preserve"> konsekvensnivå</w:t>
      </w:r>
      <w:r w:rsidR="00566FD2">
        <w:rPr>
          <w:rStyle w:val="Fotnotereferanse"/>
        </w:rPr>
        <w:footnoteReference w:id="2"/>
      </w:r>
      <w:r w:rsidR="00856BE8">
        <w:t xml:space="preserve"> for området</w:t>
      </w:r>
    </w:p>
    <w:p w14:paraId="3780D0A1" w14:textId="77777777" w:rsidR="005B2757" w:rsidRDefault="005B2757" w:rsidP="00985833">
      <w:pPr>
        <w:numPr>
          <w:ilvl w:val="0"/>
          <w:numId w:val="9"/>
        </w:numPr>
      </w:pPr>
      <w:r>
        <w:t>avdekke antatt høyeste risikonivå</w:t>
      </w:r>
      <w:r w:rsidR="00566FD2">
        <w:rPr>
          <w:rStyle w:val="Fotnotereferanse"/>
        </w:rPr>
        <w:footnoteReference w:id="3"/>
      </w:r>
      <w:r>
        <w:t xml:space="preserve"> for området</w:t>
      </w:r>
    </w:p>
    <w:p w14:paraId="53A4FB2F" w14:textId="77777777" w:rsidR="00C412B7" w:rsidRDefault="00774BEA" w:rsidP="00985833">
      <w:pPr>
        <w:numPr>
          <w:ilvl w:val="0"/>
          <w:numId w:val="9"/>
        </w:numPr>
        <w:spacing w:after="160"/>
      </w:pPr>
      <w:r w:rsidRPr="009626A1">
        <w:lastRenderedPageBreak/>
        <w:t xml:space="preserve">avdekke hvor usikker </w:t>
      </w:r>
      <w:r w:rsidR="00AE73DE" w:rsidRPr="009626A1">
        <w:t>den ansvarlige</w:t>
      </w:r>
      <w:r w:rsidRPr="009626A1">
        <w:t xml:space="preserve"> er på om risikoene </w:t>
      </w:r>
      <w:r w:rsidR="00E67AB1">
        <w:t xml:space="preserve">innen området kan </w:t>
      </w:r>
      <w:r w:rsidR="00D953B0" w:rsidRPr="009626A1">
        <w:t>aksept</w:t>
      </w:r>
      <w:r w:rsidR="00E67AB1">
        <w:t>eres</w:t>
      </w:r>
      <w:r w:rsidR="00566FD2">
        <w:rPr>
          <w:rStyle w:val="Fotnotereferanse"/>
        </w:rPr>
        <w:footnoteReference w:id="4"/>
      </w:r>
      <w:r w:rsidR="00566FD2">
        <w:t xml:space="preserve"> </w:t>
      </w:r>
      <w:r w:rsidR="00D953B0" w:rsidRPr="009626A1">
        <w:t xml:space="preserve"> </w:t>
      </w:r>
      <w:r w:rsidR="00E67AB1">
        <w:t xml:space="preserve">uten ytterligere risikovurdering og risikohåndtering. </w:t>
      </w:r>
      <w:r w:rsidR="00856BE8">
        <w:t>N</w:t>
      </w:r>
      <w:r w:rsidR="00EB4100">
        <w:t>ivåene stor</w:t>
      </w:r>
      <w:r w:rsidR="006F4F87">
        <w:t>, moderat og lav usikkerhet skal benyttes</w:t>
      </w:r>
      <w:r w:rsidR="00BC1C67">
        <w:t>.</w:t>
      </w:r>
      <w:r w:rsidR="00C412B7" w:rsidRPr="00C412B7">
        <w:t xml:space="preserve"> </w:t>
      </w:r>
    </w:p>
    <w:p w14:paraId="2721E6C3" w14:textId="07DC252B" w:rsidR="006F4F87" w:rsidRPr="00E72444" w:rsidRDefault="003A3BEE" w:rsidP="00DF0647">
      <w:pPr>
        <w:spacing w:after="160"/>
      </w:pPr>
      <w:r w:rsidRPr="00D82217">
        <w:t xml:space="preserve">Referanserammen er </w:t>
      </w:r>
      <w:r w:rsidR="00E72444">
        <w:t xml:space="preserve">virksomhetens </w:t>
      </w:r>
      <w:r w:rsidR="00566FD2">
        <w:t>k</w:t>
      </w:r>
      <w:r w:rsidR="00C412B7" w:rsidRPr="00CE69F6">
        <w:t>riterier for å akseptere risiko</w:t>
      </w:r>
      <w:r w:rsidR="00E72444" w:rsidRPr="00CE69F6">
        <w:t xml:space="preserve">, </w:t>
      </w:r>
      <w:r w:rsidR="00CE69F6">
        <w:t>samt n</w:t>
      </w:r>
      <w:r w:rsidR="00E72444" w:rsidRPr="00CE69F6">
        <w:t>ormerende beskrivelse</w:t>
      </w:r>
      <w:r w:rsidR="00566FD2">
        <w:t>r</w:t>
      </w:r>
      <w:r w:rsidR="00E72444" w:rsidRPr="00CE69F6">
        <w:t xml:space="preserve"> av risikonivå</w:t>
      </w:r>
      <w:r w:rsidR="004D4F2E" w:rsidRPr="00CE69F6">
        <w:t xml:space="preserve">, </w:t>
      </w:r>
      <w:r w:rsidR="00E72444" w:rsidRPr="00CE69F6">
        <w:t>konsekvensnivå</w:t>
      </w:r>
      <w:r w:rsidR="004D4F2E" w:rsidRPr="00CE69F6">
        <w:t xml:space="preserve"> og sannsynlighetsnivå,</w:t>
      </w:r>
      <w:r w:rsidR="004D4F2E">
        <w:t xml:space="preserve"> </w:t>
      </w:r>
      <w:r w:rsidRPr="00D82217">
        <w:t xml:space="preserve">jf. </w:t>
      </w:r>
      <w:r w:rsidR="002A489F">
        <w:t>vedlegg</w:t>
      </w:r>
      <w:r w:rsidR="00151653">
        <w:t xml:space="preserve"> B, C, D og E</w:t>
      </w:r>
      <w:r w:rsidR="002A489F">
        <w:t xml:space="preserve"> i </w:t>
      </w:r>
      <w:r w:rsidR="00F50BD1" w:rsidRPr="00D82217">
        <w:t xml:space="preserve">retningslinjen </w:t>
      </w:r>
      <w:r w:rsidR="00F50BD1" w:rsidRPr="00D82217">
        <w:rPr>
          <w:i/>
        </w:rPr>
        <w:t>Forstå, vurdere og håndtere risiko</w:t>
      </w:r>
      <w:r w:rsidR="00E72444">
        <w:t>.</w:t>
      </w:r>
    </w:p>
    <w:p w14:paraId="5A9EA014" w14:textId="77777777" w:rsidR="009E0EF1" w:rsidRDefault="009E0EF1" w:rsidP="00503576">
      <w:pPr>
        <w:spacing w:after="160"/>
      </w:pPr>
      <w:r>
        <w:t xml:space="preserve">Dersom </w:t>
      </w:r>
      <w:r w:rsidR="00BD2D04">
        <w:t>man får</w:t>
      </w:r>
      <w:r>
        <w:t xml:space="preserve"> stor variasjon i</w:t>
      </w:r>
      <w:r w:rsidR="00743D7C">
        <w:t xml:space="preserve"> usikkerheten for ulike deler av </w:t>
      </w:r>
      <w:r>
        <w:t>det man vurderer</w:t>
      </w:r>
      <w:r w:rsidR="00581AE1">
        <w:t>,</w:t>
      </w:r>
      <w:r>
        <w:t xml:space="preserve"> </w:t>
      </w:r>
      <w:r w:rsidR="00581AE1">
        <w:t xml:space="preserve">bør </w:t>
      </w:r>
      <w:r>
        <w:t xml:space="preserve">man gå tilbake til </w:t>
      </w:r>
      <w:r w:rsidR="006B7F1F">
        <w:t xml:space="preserve">pkt. </w:t>
      </w:r>
      <w:r w:rsidR="00032309">
        <w:fldChar w:fldCharType="begin"/>
      </w:r>
      <w:r w:rsidR="00032309">
        <w:instrText xml:space="preserve"> REF _Ref485057344 \r \h </w:instrText>
      </w:r>
      <w:r w:rsidR="00032309">
        <w:fldChar w:fldCharType="separate"/>
      </w:r>
      <w:r w:rsidR="00032309">
        <w:t>2.2</w:t>
      </w:r>
      <w:r w:rsidR="00032309">
        <w:fldChar w:fldCharType="end"/>
      </w:r>
      <w:r w:rsidR="006B7F1F">
        <w:t xml:space="preserve">, </w:t>
      </w:r>
      <w:r>
        <w:t>foreta en ny oppdeling</w:t>
      </w:r>
      <w:r w:rsidR="00581AE1">
        <w:t xml:space="preserve"> og gjenta </w:t>
      </w:r>
      <w:r w:rsidR="006B7F1F">
        <w:t xml:space="preserve">pkt. </w:t>
      </w:r>
      <w:r w:rsidR="00032309">
        <w:fldChar w:fldCharType="begin"/>
      </w:r>
      <w:r w:rsidR="00032309">
        <w:instrText xml:space="preserve"> REF _Ref485057531 \r \h </w:instrText>
      </w:r>
      <w:r w:rsidR="00032309">
        <w:fldChar w:fldCharType="separate"/>
      </w:r>
      <w:r w:rsidR="00032309">
        <w:t>2.3</w:t>
      </w:r>
      <w:r w:rsidR="00032309">
        <w:fldChar w:fldCharType="end"/>
      </w:r>
      <w:r w:rsidR="00BD2D04">
        <w:t xml:space="preserve"> for </w:t>
      </w:r>
      <w:r w:rsidR="002823D8">
        <w:t>aktuelle</w:t>
      </w:r>
      <w:r w:rsidR="00BD2D04">
        <w:t xml:space="preserve"> del</w:t>
      </w:r>
      <w:r w:rsidR="002823D8">
        <w:t>er</w:t>
      </w:r>
      <w:r>
        <w:t>.</w:t>
      </w:r>
    </w:p>
    <w:p w14:paraId="127005EC" w14:textId="77777777" w:rsidR="009E0EF1" w:rsidRDefault="009E0EF1" w:rsidP="00A65045">
      <w:pPr>
        <w:pStyle w:val="Overskrift2"/>
      </w:pPr>
      <w:bookmarkStart w:id="29" w:name="_Toc461636300"/>
      <w:bookmarkStart w:id="30" w:name="_Toc465016673"/>
      <w:bookmarkStart w:id="31" w:name="_Toc485057961"/>
      <w:r>
        <w:t xml:space="preserve">Ta beslutning </w:t>
      </w:r>
      <w:r w:rsidR="00726678">
        <w:t xml:space="preserve">på hvert delområde </w:t>
      </w:r>
      <w:r>
        <w:t>ut fra beslutningskriterien</w:t>
      </w:r>
      <w:r w:rsidR="0023776C">
        <w:t>e</w:t>
      </w:r>
      <w:bookmarkEnd w:id="29"/>
      <w:bookmarkEnd w:id="30"/>
      <w:bookmarkEnd w:id="31"/>
      <w:r>
        <w:t xml:space="preserve"> </w:t>
      </w:r>
    </w:p>
    <w:p w14:paraId="6E9FDC5D" w14:textId="77777777" w:rsidR="00726678" w:rsidRDefault="009E0EF1" w:rsidP="00503576">
      <w:pPr>
        <w:spacing w:after="160"/>
      </w:pPr>
      <w:r>
        <w:t xml:space="preserve">Til sist </w:t>
      </w:r>
      <w:r w:rsidR="006B7F1F">
        <w:t xml:space="preserve">skal </w:t>
      </w:r>
      <w:r w:rsidR="00581AE1">
        <w:t>den ansvarlige</w:t>
      </w:r>
      <w:r>
        <w:t xml:space="preserve"> </w:t>
      </w:r>
      <w:r w:rsidR="00F97D8A">
        <w:t xml:space="preserve">ta </w:t>
      </w:r>
      <w:r>
        <w:t>beslutning</w:t>
      </w:r>
      <w:r w:rsidR="000C4B4F">
        <w:t>er</w:t>
      </w:r>
      <w:r>
        <w:t xml:space="preserve"> </w:t>
      </w:r>
      <w:r w:rsidR="006B7F1F">
        <w:t xml:space="preserve">i samsvar med </w:t>
      </w:r>
      <w:r w:rsidR="00760ED5">
        <w:t xml:space="preserve">denne retningslinjens </w:t>
      </w:r>
      <w:r w:rsidR="00733505">
        <w:t>vedlegg B</w:t>
      </w:r>
      <w:r>
        <w:t>.</w:t>
      </w:r>
      <w:r w:rsidR="00CC5B30">
        <w:t xml:space="preserve"> </w:t>
      </w:r>
      <w:r w:rsidR="00726678">
        <w:t xml:space="preserve">Beslutningene tas fortløpende for hvert delområde </w:t>
      </w:r>
    </w:p>
    <w:p w14:paraId="05D5CD61" w14:textId="77777777" w:rsidR="00AE73DE" w:rsidRDefault="00CC5B30" w:rsidP="00503576">
      <w:pPr>
        <w:spacing w:after="160"/>
      </w:pPr>
      <w:r>
        <w:t>Tidspunkt for konkrete risikovurderinger skal planlegges ut fra det.</w:t>
      </w:r>
    </w:p>
    <w:p w14:paraId="7634C3CC" w14:textId="77777777" w:rsidR="00774BEA" w:rsidRDefault="009E0EF1" w:rsidP="007F0B02">
      <w:pPr>
        <w:pStyle w:val="Overskrift1"/>
      </w:pPr>
      <w:bookmarkStart w:id="32" w:name="_Toc461959696"/>
      <w:bookmarkStart w:id="33" w:name="_Toc462219187"/>
      <w:bookmarkStart w:id="34" w:name="_Toc462241996"/>
      <w:bookmarkStart w:id="35" w:name="_Toc462583140"/>
      <w:bookmarkStart w:id="36" w:name="_Toc462583269"/>
      <w:bookmarkStart w:id="37" w:name="_Toc461636301"/>
      <w:bookmarkStart w:id="38" w:name="_Toc465016674"/>
      <w:bookmarkStart w:id="39" w:name="_Toc485057962"/>
      <w:bookmarkEnd w:id="32"/>
      <w:bookmarkEnd w:id="33"/>
      <w:bookmarkEnd w:id="34"/>
      <w:bookmarkEnd w:id="35"/>
      <w:bookmarkEnd w:id="36"/>
      <w:r>
        <w:t>Dokumentere</w:t>
      </w:r>
      <w:bookmarkEnd w:id="37"/>
      <w:bookmarkEnd w:id="38"/>
      <w:bookmarkEnd w:id="39"/>
    </w:p>
    <w:p w14:paraId="614866D6" w14:textId="77777777" w:rsidR="00BC57A8" w:rsidRDefault="00BC57A8" w:rsidP="00BC57A8">
      <w:pPr>
        <w:spacing w:after="160"/>
      </w:pPr>
      <w:r w:rsidRPr="00651CAA">
        <w:t xml:space="preserve">Dokumentasjon </w:t>
      </w:r>
      <w:r w:rsidR="00032309">
        <w:t xml:space="preserve">av gjennomføringen foran </w:t>
      </w:r>
      <w:r w:rsidRPr="00651CAA">
        <w:t>skal som hovedregel skje skriftlig i de maler, støtteverktøy og arkivløsninger som er etablert for formålet.</w:t>
      </w:r>
    </w:p>
    <w:p w14:paraId="319E1827" w14:textId="77777777" w:rsidR="00CC5B30" w:rsidRDefault="00CC5B30" w:rsidP="0088654F">
      <w:r>
        <w:t xml:space="preserve">Når risikovurderinger faktisk </w:t>
      </w:r>
      <w:proofErr w:type="gramStart"/>
      <w:r>
        <w:t>gjennomføres</w:t>
      </w:r>
      <w:proofErr w:type="gramEnd"/>
      <w:r>
        <w:t xml:space="preserve"> skal informasjonen over suppleres med</w:t>
      </w:r>
    </w:p>
    <w:p w14:paraId="1911660A" w14:textId="77777777" w:rsidR="00CC5B30" w:rsidRDefault="00CC5B30" w:rsidP="0088654F">
      <w:pPr>
        <w:numPr>
          <w:ilvl w:val="0"/>
          <w:numId w:val="13"/>
        </w:numPr>
        <w:rPr>
          <w:lang w:eastAsia="nb-NO"/>
        </w:rPr>
      </w:pPr>
      <w:r>
        <w:rPr>
          <w:lang w:eastAsia="nb-NO"/>
        </w:rPr>
        <w:t>Dato for gjennomført risikovurdering</w:t>
      </w:r>
    </w:p>
    <w:p w14:paraId="4B844741" w14:textId="77777777" w:rsidR="00CC5B30" w:rsidRDefault="00CC5B30" w:rsidP="0088654F">
      <w:pPr>
        <w:numPr>
          <w:ilvl w:val="0"/>
          <w:numId w:val="13"/>
        </w:numPr>
        <w:rPr>
          <w:lang w:eastAsia="nb-NO"/>
        </w:rPr>
      </w:pPr>
      <w:r>
        <w:rPr>
          <w:lang w:eastAsia="nb-NO"/>
        </w:rPr>
        <w:t>Referanse til dokumentasjon av risikovurderingen</w:t>
      </w:r>
    </w:p>
    <w:p w14:paraId="2CAE563E" w14:textId="77777777" w:rsidR="00CC5B30" w:rsidRDefault="00CC5B30" w:rsidP="0088654F">
      <w:pPr>
        <w:numPr>
          <w:ilvl w:val="0"/>
          <w:numId w:val="13"/>
        </w:numPr>
        <w:rPr>
          <w:lang w:eastAsia="nb-NO"/>
        </w:rPr>
      </w:pPr>
      <w:r>
        <w:rPr>
          <w:lang w:eastAsia="nb-NO"/>
        </w:rPr>
        <w:t>Høyeste risikonivå identifisert i risikovurderingen</w:t>
      </w:r>
    </w:p>
    <w:p w14:paraId="372F42E5" w14:textId="77777777" w:rsidR="00CC5B30" w:rsidRDefault="00CC5B30" w:rsidP="0088654F">
      <w:pPr>
        <w:numPr>
          <w:ilvl w:val="0"/>
          <w:numId w:val="13"/>
        </w:numPr>
        <w:rPr>
          <w:lang w:eastAsia="nb-NO"/>
        </w:rPr>
      </w:pPr>
      <w:r w:rsidRPr="0088654F">
        <w:rPr>
          <w:lang w:eastAsia="nb-NO"/>
        </w:rPr>
        <w:t>Kunnskapsstyrke</w:t>
      </w:r>
      <w:r>
        <w:rPr>
          <w:lang w:eastAsia="nb-NO"/>
        </w:rPr>
        <w:t xml:space="preserve"> for risikovurderingen samlet</w:t>
      </w:r>
    </w:p>
    <w:p w14:paraId="2B2611C7" w14:textId="77777777" w:rsidR="00DD21EA" w:rsidRDefault="00DD21EA" w:rsidP="0088654F">
      <w:pPr>
        <w:rPr>
          <w:lang w:eastAsia="nb-NO"/>
        </w:rPr>
      </w:pPr>
      <w:r>
        <w:rPr>
          <w:lang w:eastAsia="nb-NO"/>
        </w:rPr>
        <w:t xml:space="preserve">Dette vil skape en helhetsoversikt og være til hjelp når man senere skal oppdatere behovsvurderingene. </w:t>
      </w:r>
    </w:p>
    <w:p w14:paraId="6E84B6D0" w14:textId="77777777" w:rsidR="007D0E99" w:rsidRPr="008812E3" w:rsidRDefault="007D0E99" w:rsidP="00BC57A8">
      <w:pPr>
        <w:spacing w:after="160"/>
      </w:pPr>
    </w:p>
    <w:p w14:paraId="74663A40" w14:textId="77777777" w:rsidR="00605ABC" w:rsidRDefault="000D0A7B" w:rsidP="007F0B02">
      <w:pPr>
        <w:pStyle w:val="Overskrift1"/>
        <w:numPr>
          <w:ilvl w:val="0"/>
          <w:numId w:val="0"/>
        </w:numPr>
      </w:pPr>
      <w:bookmarkStart w:id="40" w:name="_Toc461636302"/>
      <w:bookmarkStart w:id="41" w:name="_Toc465016675"/>
      <w:r>
        <w:br w:type="page"/>
      </w:r>
      <w:bookmarkStart w:id="42" w:name="_Toc485057963"/>
      <w:r w:rsidR="00733505">
        <w:lastRenderedPageBreak/>
        <w:t xml:space="preserve">Vedlegg A: </w:t>
      </w:r>
      <w:r w:rsidR="00605ABC">
        <w:t>Støttespørsmål</w:t>
      </w:r>
      <w:bookmarkEnd w:id="40"/>
      <w:bookmarkEnd w:id="41"/>
      <w:bookmarkEnd w:id="42"/>
    </w:p>
    <w:p w14:paraId="10D5B0A6" w14:textId="77777777" w:rsidR="00151653" w:rsidRDefault="00151653" w:rsidP="00151653">
      <w:pPr>
        <w:spacing w:after="160"/>
      </w:pPr>
      <w:r>
        <w:t>Etter hvert temaområde i spørsmålene under</w:t>
      </w:r>
      <w:r w:rsidR="009567AE">
        <w:t>,</w:t>
      </w:r>
      <w:r>
        <w:t xml:space="preserve"> bør man fortløpende kort reflektere over</w:t>
      </w:r>
      <w:r w:rsidR="009567AE">
        <w:t>,</w:t>
      </w:r>
      <w:r>
        <w:t xml:space="preserve"> </w:t>
      </w:r>
      <w:r w:rsidR="009567AE">
        <w:t xml:space="preserve">og ved behov notere, </w:t>
      </w:r>
      <w:r>
        <w:t>både antatt høyeste risikonivå og nivå på egen usikkerhet på om risikoene kan aksepteres</w:t>
      </w:r>
      <w:r w:rsidR="004609A6">
        <w:t xml:space="preserve"> </w:t>
      </w:r>
      <w:r>
        <w:t>som de er. Dette konkluderes det på til slutt i støttespørsmålene</w:t>
      </w:r>
      <w:r w:rsidR="00BF1AE9">
        <w:t xml:space="preserve">. </w:t>
      </w:r>
    </w:p>
    <w:p w14:paraId="70E68C78" w14:textId="77777777" w:rsidR="00151653" w:rsidRPr="00CE098F" w:rsidRDefault="00151653" w:rsidP="00304F38"/>
    <w:p w14:paraId="57A7D253" w14:textId="77777777" w:rsidR="00304F38" w:rsidRPr="00A65045" w:rsidRDefault="00161759" w:rsidP="004D4F2E">
      <w:pPr>
        <w:keepNext/>
        <w:rPr>
          <w:b/>
        </w:rPr>
      </w:pPr>
      <w:r>
        <w:rPr>
          <w:b/>
        </w:rPr>
        <w:t>Høyeste</w:t>
      </w:r>
      <w:r w:rsidR="00304F38" w:rsidRPr="00A65045">
        <w:rPr>
          <w:b/>
        </w:rPr>
        <w:t xml:space="preserve"> konsekvensnivå:</w:t>
      </w:r>
      <w:bookmarkStart w:id="43" w:name="_Ref465030573"/>
      <w:r w:rsidR="00876BE3" w:rsidRPr="00876BE3">
        <w:rPr>
          <w:rStyle w:val="Fotnotereferanse"/>
        </w:rPr>
        <w:t xml:space="preserve"> </w:t>
      </w:r>
      <w:bookmarkEnd w:id="43"/>
    </w:p>
    <w:p w14:paraId="5C3CA85F" w14:textId="77777777" w:rsidR="003D5A34" w:rsidRDefault="00967095" w:rsidP="00985833">
      <w:pPr>
        <w:numPr>
          <w:ilvl w:val="0"/>
          <w:numId w:val="5"/>
        </w:numPr>
      </w:pPr>
      <w:r w:rsidRPr="00C175A4">
        <w:t xml:space="preserve">Hva er høyeste konsekvensnivå </w:t>
      </w:r>
      <w:r w:rsidR="00D47ABB">
        <w:t>innen</w:t>
      </w:r>
      <w:r w:rsidR="00DE1475" w:rsidRPr="00C175A4">
        <w:t xml:space="preserve"> området</w:t>
      </w:r>
    </w:p>
    <w:p w14:paraId="1E1425C5" w14:textId="77777777" w:rsidR="00967095" w:rsidRDefault="003D5A34" w:rsidP="00985833">
      <w:pPr>
        <w:numPr>
          <w:ilvl w:val="0"/>
          <w:numId w:val="9"/>
        </w:numPr>
      </w:pPr>
      <w:r>
        <w:t>ved brudd på konfidensialitet, integritet og tilgjengelighet</w:t>
      </w:r>
      <w:r w:rsidR="00630138">
        <w:t>?</w:t>
      </w:r>
      <w:r>
        <w:t xml:space="preserve"> (når </w:t>
      </w:r>
      <w:r w:rsidR="009E5614">
        <w:t xml:space="preserve">risikoer ved </w:t>
      </w:r>
      <w:r>
        <w:t>informasjonssikkerhet er relevant</w:t>
      </w:r>
      <w:r w:rsidR="00DF0647">
        <w:t xml:space="preserve"> for vurderingen</w:t>
      </w:r>
      <w:r>
        <w:t>)</w:t>
      </w:r>
    </w:p>
    <w:p w14:paraId="05F9C791" w14:textId="77777777" w:rsidR="003D5A34" w:rsidRDefault="00D47ABB" w:rsidP="00985833">
      <w:pPr>
        <w:numPr>
          <w:ilvl w:val="0"/>
          <w:numId w:val="9"/>
        </w:numPr>
      </w:pPr>
      <w:r>
        <w:t xml:space="preserve">ved </w:t>
      </w:r>
      <w:r w:rsidR="002D184D">
        <w:t>brudd på kvalitetskrav</w:t>
      </w:r>
      <w:r w:rsidR="00630138">
        <w:t>?</w:t>
      </w:r>
      <w:r>
        <w:t xml:space="preserve"> (</w:t>
      </w:r>
      <w:r w:rsidR="002D184D">
        <w:t xml:space="preserve">dersom </w:t>
      </w:r>
      <w:r w:rsidR="00630138">
        <w:t>det er relevant</w:t>
      </w:r>
      <w:r w:rsidR="002D184D">
        <w:t xml:space="preserve"> for vurderingen</w:t>
      </w:r>
      <w:r w:rsidR="00630138">
        <w:t>)</w:t>
      </w:r>
    </w:p>
    <w:p w14:paraId="5A69C6B6" w14:textId="77777777" w:rsidR="005341CD" w:rsidRDefault="00151653" w:rsidP="005341CD">
      <w:pPr>
        <w:spacing w:after="160"/>
      </w:pPr>
      <w:r w:rsidRPr="005341CD">
        <w:rPr>
          <w:highlight w:val="yellow"/>
        </w:rPr>
        <w:t xml:space="preserve"> </w:t>
      </w:r>
      <w:r>
        <w:rPr>
          <w:highlight w:val="yellow"/>
        </w:rPr>
        <w:t xml:space="preserve">(Det </w:t>
      </w:r>
      <w:r w:rsidR="005341CD" w:rsidRPr="005341CD">
        <w:rPr>
          <w:highlight w:val="yellow"/>
        </w:rPr>
        <w:t>siste kulepunktene fjernes dersom retningslinjen kun skal gjelde informasjonssikkerhet)</w:t>
      </w:r>
    </w:p>
    <w:p w14:paraId="26F9276F" w14:textId="77777777" w:rsidR="00C175A4" w:rsidRPr="00C175A4" w:rsidRDefault="00C175A4" w:rsidP="004D4F2E">
      <w:pPr>
        <w:keepNext/>
        <w:rPr>
          <w:b/>
        </w:rPr>
      </w:pPr>
      <w:r w:rsidRPr="00C175A4">
        <w:rPr>
          <w:b/>
        </w:rPr>
        <w:t>Oversikt</w:t>
      </w:r>
      <w:r w:rsidR="004D4F2E">
        <w:rPr>
          <w:b/>
        </w:rPr>
        <w:t>:</w:t>
      </w:r>
    </w:p>
    <w:p w14:paraId="3F6A95B5" w14:textId="77777777" w:rsidR="00605ABC" w:rsidRDefault="00605ABC" w:rsidP="00985833">
      <w:pPr>
        <w:numPr>
          <w:ilvl w:val="0"/>
          <w:numId w:val="5"/>
        </w:numPr>
        <w:ind w:left="357" w:hanging="357"/>
      </w:pPr>
      <w:r w:rsidRPr="00D82217">
        <w:t>Hvor god oversikt har vi over området?</w:t>
      </w:r>
    </w:p>
    <w:p w14:paraId="76FE060F" w14:textId="77777777" w:rsidR="00EA1F3D" w:rsidRDefault="00EA1F3D" w:rsidP="00985833">
      <w:pPr>
        <w:numPr>
          <w:ilvl w:val="0"/>
          <w:numId w:val="4"/>
        </w:numPr>
      </w:pPr>
      <w:r>
        <w:t>Mål for arbeidet</w:t>
      </w:r>
      <w:r w:rsidR="00E72444">
        <w:t xml:space="preserve"> eller tjenesten</w:t>
      </w:r>
      <w:r>
        <w:t xml:space="preserve">, </w:t>
      </w:r>
      <w:r w:rsidR="00FE2F03">
        <w:t>system som benyttes</w:t>
      </w:r>
      <w:r>
        <w:t xml:space="preserve"> og hvem som utfører </w:t>
      </w:r>
      <w:r w:rsidR="00E72444">
        <w:t>arbeidet</w:t>
      </w:r>
    </w:p>
    <w:p w14:paraId="0A3B6E54" w14:textId="77777777" w:rsidR="00EA1F3D" w:rsidRDefault="00EA1F3D" w:rsidP="00985833">
      <w:pPr>
        <w:numPr>
          <w:ilvl w:val="0"/>
          <w:numId w:val="9"/>
        </w:numPr>
        <w:spacing w:after="160"/>
      </w:pPr>
      <w:r>
        <w:t>Trusler, farer og sårbarheter</w:t>
      </w:r>
    </w:p>
    <w:p w14:paraId="2504502E" w14:textId="77777777" w:rsidR="00304F38" w:rsidRPr="00A65045" w:rsidRDefault="00304F38" w:rsidP="004D4F2E">
      <w:pPr>
        <w:keepNext/>
        <w:rPr>
          <w:b/>
        </w:rPr>
      </w:pPr>
      <w:r w:rsidRPr="00A65045">
        <w:rPr>
          <w:b/>
        </w:rPr>
        <w:t>Tidligere risikovurdering</w:t>
      </w:r>
      <w:r w:rsidR="00146F07">
        <w:rPr>
          <w:b/>
        </w:rPr>
        <w:t>er</w:t>
      </w:r>
      <w:r w:rsidRPr="00A65045">
        <w:rPr>
          <w:b/>
        </w:rPr>
        <w:t xml:space="preserve"> og risikohåndtering:</w:t>
      </w:r>
    </w:p>
    <w:p w14:paraId="3184A903" w14:textId="77777777" w:rsidR="00304F38" w:rsidRDefault="00312FDD" w:rsidP="00985833">
      <w:pPr>
        <w:numPr>
          <w:ilvl w:val="0"/>
          <w:numId w:val="5"/>
        </w:numPr>
      </w:pPr>
      <w:r>
        <w:t xml:space="preserve">Er det tidligere </w:t>
      </w:r>
      <w:r w:rsidR="00304F38" w:rsidRPr="00A65045">
        <w:t xml:space="preserve">gjort gode risikovurderinger </w:t>
      </w:r>
      <w:r w:rsidR="00B82E0B">
        <w:t xml:space="preserve">og en systematisk risikohåndtering </w:t>
      </w:r>
      <w:r w:rsidR="00304F38" w:rsidRPr="00D82217">
        <w:t>på dette eller direkte sammenlignbare områder?</w:t>
      </w:r>
    </w:p>
    <w:p w14:paraId="4954A9B0" w14:textId="77777777" w:rsidR="00312FDD" w:rsidRPr="00D82217" w:rsidRDefault="00312FDD" w:rsidP="00985833">
      <w:pPr>
        <w:numPr>
          <w:ilvl w:val="1"/>
          <w:numId w:val="5"/>
        </w:numPr>
        <w:tabs>
          <w:tab w:val="left" w:pos="709"/>
        </w:tabs>
        <w:ind w:left="709" w:hanging="283"/>
      </w:pPr>
      <w:r w:rsidRPr="00A65045">
        <w:t>av oss eller andre vi har stor tillit til</w:t>
      </w:r>
    </w:p>
    <w:p w14:paraId="4FFE975C" w14:textId="77777777" w:rsidR="007A1F51" w:rsidRDefault="007A1F51" w:rsidP="00985833">
      <w:pPr>
        <w:numPr>
          <w:ilvl w:val="0"/>
          <w:numId w:val="5"/>
        </w:numPr>
      </w:pPr>
      <w:r>
        <w:t>I hvilken grad føler vi oss trygge på at tidligere arbeid med identifisering og valg rundt alternative arbeidsmåter og risikoreduserende sikkerhets</w:t>
      </w:r>
      <w:r w:rsidRPr="00D82217">
        <w:t>tiltak</w:t>
      </w:r>
      <w:r>
        <w:t xml:space="preserve">, dekker </w:t>
      </w:r>
      <w:r w:rsidR="00F42E7A">
        <w:t xml:space="preserve">våre risikoer og </w:t>
      </w:r>
      <w:r>
        <w:t xml:space="preserve">kravene rundt </w:t>
      </w:r>
      <w:r w:rsidR="00F42E7A">
        <w:t>disse</w:t>
      </w:r>
      <w:r>
        <w:t xml:space="preserve"> i våre kriterier for å akseptere risikoer?</w:t>
      </w:r>
    </w:p>
    <w:p w14:paraId="750176C4" w14:textId="77777777" w:rsidR="007A1F51" w:rsidRDefault="007A1F51" w:rsidP="00985833">
      <w:pPr>
        <w:numPr>
          <w:ilvl w:val="1"/>
          <w:numId w:val="5"/>
        </w:numPr>
        <w:tabs>
          <w:tab w:val="left" w:pos="709"/>
        </w:tabs>
        <w:ind w:left="709" w:hanging="283"/>
      </w:pPr>
      <w:r>
        <w:t>gjennom</w:t>
      </w:r>
      <w:r w:rsidRPr="00D82217">
        <w:t xml:space="preserve"> </w:t>
      </w:r>
      <w:r w:rsidR="00146F07">
        <w:t xml:space="preserve">bl.a. </w:t>
      </w:r>
      <w:r w:rsidRPr="00D82217">
        <w:t>virksomhetens fellessikring og vår tilleggssikring</w:t>
      </w:r>
    </w:p>
    <w:p w14:paraId="54362EF2" w14:textId="77777777" w:rsidR="002E580F" w:rsidRDefault="002E580F" w:rsidP="00985833">
      <w:pPr>
        <w:numPr>
          <w:ilvl w:val="0"/>
          <w:numId w:val="5"/>
        </w:numPr>
      </w:pPr>
      <w:r>
        <w:t>Er det vesentlige del</w:t>
      </w:r>
      <w:r w:rsidR="00D116C5">
        <w:t>områder</w:t>
      </w:r>
      <w:r>
        <w:t xml:space="preserve"> eller risikoer som ikke er vurdert </w:t>
      </w:r>
      <w:r w:rsidR="002A2142">
        <w:t xml:space="preserve">eller håndtert </w:t>
      </w:r>
      <w:r>
        <w:t>godt nok?</w:t>
      </w:r>
    </w:p>
    <w:p w14:paraId="3DB3C990" w14:textId="77777777" w:rsidR="002A2142" w:rsidRDefault="001D2D8B" w:rsidP="00985833">
      <w:pPr>
        <w:numPr>
          <w:ilvl w:val="1"/>
          <w:numId w:val="5"/>
        </w:numPr>
        <w:tabs>
          <w:tab w:val="left" w:pos="709"/>
        </w:tabs>
        <w:ind w:left="709" w:hanging="283"/>
      </w:pPr>
      <w:r>
        <w:t>pga. m</w:t>
      </w:r>
      <w:r w:rsidR="002A2142">
        <w:t>anglende tid og</w:t>
      </w:r>
      <w:r>
        <w:t xml:space="preserve"> kompetanse</w:t>
      </w:r>
    </w:p>
    <w:p w14:paraId="35487660" w14:textId="77777777" w:rsidR="008B6AFD" w:rsidRDefault="002A2142" w:rsidP="00985833">
      <w:pPr>
        <w:numPr>
          <w:ilvl w:val="1"/>
          <w:numId w:val="5"/>
        </w:numPr>
        <w:tabs>
          <w:tab w:val="left" w:pos="709"/>
        </w:tabs>
        <w:spacing w:after="160"/>
        <w:ind w:left="709" w:hanging="284"/>
      </w:pPr>
      <w:r>
        <w:t xml:space="preserve">pga. usikkerhet rundt sentrale deler av området eller usikkerhet rundt </w:t>
      </w:r>
      <w:r w:rsidR="007D345C">
        <w:t xml:space="preserve">trusler, farer og </w:t>
      </w:r>
      <w:r>
        <w:t>sårbarheter</w:t>
      </w:r>
    </w:p>
    <w:p w14:paraId="37F20B48" w14:textId="77777777" w:rsidR="00272279" w:rsidRPr="00A65045" w:rsidRDefault="00272279" w:rsidP="004D4F2E">
      <w:pPr>
        <w:keepNext/>
        <w:rPr>
          <w:b/>
        </w:rPr>
      </w:pPr>
      <w:r w:rsidRPr="00A65045">
        <w:rPr>
          <w:b/>
        </w:rPr>
        <w:t>Nye faktorer:</w:t>
      </w:r>
    </w:p>
    <w:p w14:paraId="5BA78ACB" w14:textId="77777777" w:rsidR="00605ABC" w:rsidRDefault="00253CCD" w:rsidP="00985833">
      <w:pPr>
        <w:numPr>
          <w:ilvl w:val="0"/>
          <w:numId w:val="5"/>
        </w:numPr>
        <w:ind w:left="357" w:hanging="357"/>
      </w:pPr>
      <w:r>
        <w:t>H</w:t>
      </w:r>
      <w:r w:rsidR="00272279" w:rsidRPr="00A65045">
        <w:t xml:space="preserve">ar det </w:t>
      </w:r>
      <w:r w:rsidR="00605ABC" w:rsidRPr="00A65045">
        <w:t xml:space="preserve">skjedd vesentlige endringer </w:t>
      </w:r>
      <w:r w:rsidR="00DE1475">
        <w:t>i oppgaveløsning</w:t>
      </w:r>
      <w:r w:rsidR="00146F07">
        <w:t>en</w:t>
      </w:r>
      <w:r w:rsidR="00DE1475">
        <w:t xml:space="preserve">, </w:t>
      </w:r>
      <w:r w:rsidR="00E72444">
        <w:t xml:space="preserve">tjenesteutformingen, </w:t>
      </w:r>
      <w:r w:rsidR="00605ABC" w:rsidRPr="00D82217">
        <w:t>informasjon</w:t>
      </w:r>
      <w:r w:rsidR="00DE1475">
        <w:t>sbehandling</w:t>
      </w:r>
      <w:r w:rsidR="00146F07">
        <w:t>en</w:t>
      </w:r>
      <w:r w:rsidR="00DE1475">
        <w:t xml:space="preserve">, </w:t>
      </w:r>
      <w:r w:rsidR="007D345C">
        <w:t>trusler</w:t>
      </w:r>
      <w:r w:rsidR="001F213C">
        <w:t>,</w:t>
      </w:r>
      <w:r w:rsidR="00DE1475">
        <w:t xml:space="preserve"> fare</w:t>
      </w:r>
      <w:r w:rsidR="007D345C">
        <w:t>r</w:t>
      </w:r>
      <w:r w:rsidR="00605ABC" w:rsidRPr="00D82217">
        <w:t xml:space="preserve"> eller rundt </w:t>
      </w:r>
      <w:r w:rsidR="00605ABC" w:rsidRPr="00A65045">
        <w:t>sårbarheter</w:t>
      </w:r>
      <w:r w:rsidR="00605ABC">
        <w:t>?</w:t>
      </w:r>
    </w:p>
    <w:p w14:paraId="45846C15" w14:textId="77777777" w:rsidR="00605ABC" w:rsidRDefault="00605ABC" w:rsidP="00985833">
      <w:pPr>
        <w:numPr>
          <w:ilvl w:val="0"/>
          <w:numId w:val="5"/>
        </w:numPr>
        <w:ind w:left="357" w:hanging="357"/>
      </w:pPr>
      <w:r>
        <w:t>Har vi fått indikasjoner fra avviks</w:t>
      </w:r>
      <w:r w:rsidR="003A6312">
        <w:t>-</w:t>
      </w:r>
      <w:r>
        <w:t xml:space="preserve"> og hendelseshåndteringen, revisjonsrapporter e.l. som indikerer at tidligere risikovurderinger </w:t>
      </w:r>
      <w:r w:rsidR="006442C2">
        <w:t xml:space="preserve">og </w:t>
      </w:r>
      <w:r w:rsidR="00253CCD">
        <w:t>risiko</w:t>
      </w:r>
      <w:r w:rsidR="006442C2">
        <w:t xml:space="preserve">håndtering </w:t>
      </w:r>
      <w:r>
        <w:t>ikke lenger er gode nok?</w:t>
      </w:r>
    </w:p>
    <w:p w14:paraId="04332F69" w14:textId="77777777" w:rsidR="00605ABC" w:rsidRDefault="00605ABC" w:rsidP="00985833">
      <w:pPr>
        <w:numPr>
          <w:ilvl w:val="0"/>
          <w:numId w:val="5"/>
        </w:numPr>
        <w:spacing w:after="160"/>
        <w:ind w:left="357" w:hanging="357"/>
      </w:pPr>
      <w:r>
        <w:t>Har vi fått tilbakemeldinger fra nøkkelpersonell om vesentlig usikkerhet på om risikovurderinger og tiltak er gode nok?</w:t>
      </w:r>
    </w:p>
    <w:p w14:paraId="3AAE7116" w14:textId="77777777" w:rsidR="00573413" w:rsidRDefault="00573413" w:rsidP="004D4F2E">
      <w:pPr>
        <w:keepNext/>
        <w:rPr>
          <w:b/>
        </w:rPr>
      </w:pPr>
      <w:r w:rsidRPr="00A65045">
        <w:rPr>
          <w:b/>
        </w:rPr>
        <w:t>Usikkerhet om risikoaksept:</w:t>
      </w:r>
    </w:p>
    <w:p w14:paraId="51353DB2" w14:textId="77777777" w:rsidR="00CA7AEC" w:rsidRPr="00D82217" w:rsidRDefault="00CA7AEC" w:rsidP="00985833">
      <w:pPr>
        <w:numPr>
          <w:ilvl w:val="0"/>
          <w:numId w:val="5"/>
        </w:numPr>
        <w:ind w:left="357" w:hanging="357"/>
      </w:pPr>
      <w:r>
        <w:t xml:space="preserve">Hva antar vi er det høyeste risikonivået ut </w:t>
      </w:r>
      <w:r w:rsidR="002C528B">
        <w:t xml:space="preserve">fra </w:t>
      </w:r>
      <w:r w:rsidR="001F213C">
        <w:t xml:space="preserve">tidligere risikovurderinger og </w:t>
      </w:r>
      <w:r>
        <w:t>vurderingen over?</w:t>
      </w:r>
    </w:p>
    <w:p w14:paraId="028CB44D" w14:textId="77777777" w:rsidR="00573413" w:rsidRDefault="00573413" w:rsidP="00985833">
      <w:pPr>
        <w:numPr>
          <w:ilvl w:val="0"/>
          <w:numId w:val="5"/>
        </w:numPr>
        <w:spacing w:after="160"/>
        <w:ind w:left="357" w:hanging="357"/>
      </w:pPr>
      <w:r>
        <w:t>Hvor stor usikkerhet har vi om risikoene på området kan aksepteres i henhold til virksomhetens kriterier for å akseptere risiko? (Høy, moderat eller lav usikkerhet)</w:t>
      </w:r>
    </w:p>
    <w:p w14:paraId="6AEDB142" w14:textId="77777777" w:rsidR="00605ABC" w:rsidRDefault="000D0A7B" w:rsidP="007F0B02">
      <w:pPr>
        <w:pStyle w:val="Overskrift1"/>
        <w:numPr>
          <w:ilvl w:val="0"/>
          <w:numId w:val="0"/>
        </w:numPr>
      </w:pPr>
      <w:bookmarkStart w:id="44" w:name="_Toc461636303"/>
      <w:bookmarkStart w:id="45" w:name="_Toc465016676"/>
      <w:r>
        <w:br w:type="page"/>
      </w:r>
      <w:bookmarkStart w:id="46" w:name="_Toc485057964"/>
      <w:r w:rsidR="00733505">
        <w:lastRenderedPageBreak/>
        <w:t xml:space="preserve">Vedlegg B: </w:t>
      </w:r>
      <w:r w:rsidR="00605ABC">
        <w:t>Beslutningskriterier</w:t>
      </w:r>
      <w:bookmarkEnd w:id="44"/>
      <w:bookmarkEnd w:id="45"/>
      <w:bookmarkEnd w:id="46"/>
    </w:p>
    <w:p w14:paraId="3BB60F2A" w14:textId="77777777" w:rsidR="007B7296" w:rsidRDefault="00B91B2B" w:rsidP="00B91B2B">
      <w:r w:rsidRPr="00783588">
        <w:rPr>
          <w:b/>
        </w:rPr>
        <w:t>Velg prioriteringsgruppe for området</w:t>
      </w:r>
      <w:r>
        <w:t xml:space="preserve"> ut fra</w:t>
      </w:r>
    </w:p>
    <w:p w14:paraId="52709519" w14:textId="77777777" w:rsidR="00B91B2B" w:rsidRDefault="00397F6B" w:rsidP="00985833">
      <w:pPr>
        <w:numPr>
          <w:ilvl w:val="0"/>
          <w:numId w:val="6"/>
        </w:numPr>
      </w:pPr>
      <w:r>
        <w:t xml:space="preserve">Høyeste </w:t>
      </w:r>
      <w:r w:rsidR="00B91B2B">
        <w:t>konsek</w:t>
      </w:r>
      <w:r>
        <w:t>vensnivå fra</w:t>
      </w:r>
      <w:r w:rsidR="00B91B2B">
        <w:t xml:space="preserve"> spørsmål 1</w:t>
      </w:r>
    </w:p>
    <w:p w14:paraId="4414CDED" w14:textId="77777777" w:rsidR="00B43010" w:rsidRDefault="00A60934" w:rsidP="00985833">
      <w:pPr>
        <w:numPr>
          <w:ilvl w:val="0"/>
          <w:numId w:val="6"/>
        </w:numPr>
        <w:spacing w:after="120"/>
      </w:pPr>
      <w:r>
        <w:t>Nivå på u</w:t>
      </w:r>
      <w:r w:rsidR="00397F6B">
        <w:t>sikkerhet</w:t>
      </w:r>
      <w:r>
        <w:t xml:space="preserve"> </w:t>
      </w:r>
      <w:r w:rsidR="00397F6B">
        <w:t>fra</w:t>
      </w:r>
      <w:r w:rsidR="00717D7F">
        <w:t xml:space="preserve"> spørsmål 10</w:t>
      </w:r>
    </w:p>
    <w:p w14:paraId="6D2CE1E0" w14:textId="77777777" w:rsidR="00717D7F" w:rsidRDefault="00717D7F" w:rsidP="00717D7F">
      <w:pPr>
        <w:spacing w:after="120"/>
      </w:pPr>
    </w:p>
    <w:tbl>
      <w:tblPr>
        <w:tblpPr w:leftFromText="141" w:rightFromText="141" w:vertAnchor="text" w:tblpX="7" w:tblpY="1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1276"/>
        <w:gridCol w:w="1276"/>
        <w:gridCol w:w="1275"/>
      </w:tblGrid>
      <w:tr w:rsidR="004B2878" w:rsidRPr="002F1821" w14:paraId="494EABF7" w14:textId="77777777" w:rsidTr="00B43010">
        <w:trPr>
          <w:cantSplit/>
          <w:trHeight w:val="28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E233FA" w14:textId="77777777" w:rsidR="004B2878" w:rsidRPr="004B2878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4B2878">
              <w:rPr>
                <w:b/>
                <w:sz w:val="22"/>
                <w:szCs w:val="22"/>
              </w:rPr>
              <w:t>Usikkerhet om risikoene kan aksepteres</w:t>
            </w:r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0E35A" w14:textId="77777777" w:rsidR="004B2878" w:rsidRDefault="004B2878" w:rsidP="004B28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2878" w:rsidRPr="002F1821" w14:paraId="6369C2C0" w14:textId="77777777" w:rsidTr="00B43010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E7E6E6"/>
            <w:textDirection w:val="btLr"/>
            <w:vAlign w:val="bottom"/>
          </w:tcPr>
          <w:p w14:paraId="6A280C61" w14:textId="77777777" w:rsidR="004B2878" w:rsidRPr="004B2878" w:rsidRDefault="004B2878" w:rsidP="004B28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Nivå u</w:t>
            </w:r>
            <w:r w:rsidRPr="004B2878">
              <w:rPr>
                <w:b/>
                <w:sz w:val="22"/>
                <w:szCs w:val="22"/>
              </w:rPr>
              <w:t>sikkerhet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6FC36D" w14:textId="77777777" w:rsidR="004B2878" w:rsidRDefault="004B2878" w:rsidP="004B2878">
            <w:pPr>
              <w:jc w:val="center"/>
              <w:rPr>
                <w:b/>
                <w:sz w:val="22"/>
                <w:szCs w:val="22"/>
              </w:rPr>
            </w:pPr>
          </w:p>
          <w:p w14:paraId="63A8EC6F" w14:textId="77777777" w:rsidR="00B43010" w:rsidRPr="00D6743B" w:rsidRDefault="00B43010" w:rsidP="004B28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553C" w14:textId="77777777" w:rsidR="004B2878" w:rsidRPr="00D6743B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Prioritetsgruppe for risikovurderinger</w:t>
            </w:r>
          </w:p>
        </w:tc>
      </w:tr>
      <w:tr w:rsidR="004B2878" w:rsidRPr="002F1821" w14:paraId="7FEA840B" w14:textId="77777777" w:rsidTr="004047E0">
        <w:trPr>
          <w:trHeight w:val="283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7E6E6"/>
          </w:tcPr>
          <w:p w14:paraId="6B61256D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</w:tcPr>
          <w:p w14:paraId="08E5B319" w14:textId="77777777" w:rsidR="004B2878" w:rsidRPr="00F15CE5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Høy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147A28" w14:textId="77777777" w:rsidR="004B2878" w:rsidRPr="00D6743B" w:rsidRDefault="004047E0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9F3395" w14:textId="77777777" w:rsidR="004B2878" w:rsidRPr="00D6743B" w:rsidRDefault="004047E0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8AE06E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D094D4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878" w:rsidRPr="002F1821" w14:paraId="4FDBDE85" w14:textId="77777777" w:rsidTr="00BB7F0D">
        <w:trPr>
          <w:trHeight w:val="283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7E6E6"/>
          </w:tcPr>
          <w:p w14:paraId="62D8A416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</w:tcPr>
          <w:p w14:paraId="2C1BD734" w14:textId="77777777" w:rsidR="004B2878" w:rsidRPr="00F15CE5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Moderat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1BBF5B" w14:textId="77777777" w:rsidR="004B2878" w:rsidRPr="00D6743B" w:rsidRDefault="00BB7F0D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88DB41" w14:textId="77777777" w:rsidR="004B2878" w:rsidRPr="00D6743B" w:rsidRDefault="004047E0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50143F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25813E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2878" w:rsidRPr="002F1821" w14:paraId="0ABB33FF" w14:textId="77777777" w:rsidTr="00436F1F">
        <w:trPr>
          <w:trHeight w:val="28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40F47A98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0FF0BB" w14:textId="77777777" w:rsidR="004B2878" w:rsidRPr="00F15CE5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F15CE5"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933C21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76A41D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82DC7A" w14:textId="77777777" w:rsidR="004B2878" w:rsidRPr="00D6743B" w:rsidRDefault="00BB7F0D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11C65" w14:textId="77777777" w:rsidR="004B2878" w:rsidRPr="00D6743B" w:rsidRDefault="00BB7F0D" w:rsidP="004B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B2878" w:rsidRPr="002F1821" w14:paraId="652AD1CC" w14:textId="77777777" w:rsidTr="00436F1F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C6874A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110ED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333549" w14:textId="77777777" w:rsidR="004B2878" w:rsidRPr="0015461B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Lav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8FD530" w14:textId="77777777" w:rsidR="004B2878" w:rsidRPr="0015461B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Moderat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F25799" w14:textId="77777777" w:rsidR="004B2878" w:rsidRPr="0015461B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Høy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175529" w14:textId="77777777" w:rsidR="004B2878" w:rsidRPr="0015461B" w:rsidRDefault="004B2878" w:rsidP="004B2878">
            <w:pPr>
              <w:jc w:val="center"/>
              <w:rPr>
                <w:b/>
                <w:sz w:val="22"/>
                <w:szCs w:val="22"/>
              </w:rPr>
            </w:pPr>
            <w:r w:rsidRPr="0015461B">
              <w:rPr>
                <w:b/>
                <w:sz w:val="22"/>
                <w:szCs w:val="22"/>
              </w:rPr>
              <w:t>Svært høy</w:t>
            </w:r>
          </w:p>
        </w:tc>
      </w:tr>
      <w:tr w:rsidR="004B2878" w:rsidRPr="002F1821" w14:paraId="2150348F" w14:textId="77777777" w:rsidTr="00436F1F">
        <w:trPr>
          <w:trHeight w:val="283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F5906" w14:textId="77777777" w:rsidR="004B2878" w:rsidRPr="00D6743B" w:rsidRDefault="004B2878" w:rsidP="004B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C713D1" w14:textId="77777777" w:rsidR="004B2878" w:rsidRPr="0015461B" w:rsidRDefault="00D12B1B" w:rsidP="004B28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4B2878">
              <w:rPr>
                <w:b/>
                <w:sz w:val="22"/>
                <w:szCs w:val="22"/>
              </w:rPr>
              <w:t>onsekvensnivå</w:t>
            </w:r>
          </w:p>
        </w:tc>
      </w:tr>
    </w:tbl>
    <w:p w14:paraId="1CFD208D" w14:textId="77777777" w:rsidR="007B7296" w:rsidRDefault="007B7296" w:rsidP="007B7296"/>
    <w:p w14:paraId="35D68974" w14:textId="77777777" w:rsidR="007B7296" w:rsidRDefault="007B7296" w:rsidP="007B7296"/>
    <w:p w14:paraId="026404E1" w14:textId="77777777" w:rsidR="007B7296" w:rsidRDefault="007B7296" w:rsidP="00D82217">
      <w:pPr>
        <w:spacing w:after="160"/>
      </w:pPr>
    </w:p>
    <w:p w14:paraId="521BE821" w14:textId="77777777" w:rsidR="007B7296" w:rsidRDefault="007B7296" w:rsidP="00D82217">
      <w:pPr>
        <w:spacing w:after="160"/>
      </w:pPr>
    </w:p>
    <w:p w14:paraId="13A52345" w14:textId="77777777" w:rsidR="009105F7" w:rsidRDefault="009105F7" w:rsidP="00D82217">
      <w:pPr>
        <w:spacing w:after="160"/>
        <w:rPr>
          <w:b/>
        </w:rPr>
      </w:pPr>
    </w:p>
    <w:p w14:paraId="4146BA0D" w14:textId="77777777" w:rsidR="009105F7" w:rsidRDefault="009105F7" w:rsidP="00D82217">
      <w:pPr>
        <w:spacing w:after="160"/>
        <w:rPr>
          <w:b/>
        </w:rPr>
      </w:pPr>
    </w:p>
    <w:p w14:paraId="515C501A" w14:textId="77777777" w:rsidR="009105F7" w:rsidRDefault="009105F7" w:rsidP="00D82217">
      <w:pPr>
        <w:spacing w:after="160"/>
        <w:rPr>
          <w:b/>
        </w:rPr>
      </w:pPr>
    </w:p>
    <w:p w14:paraId="5D79C4F1" w14:textId="77777777" w:rsidR="00717D7F" w:rsidRPr="00894977" w:rsidRDefault="00894977" w:rsidP="00717D7F">
      <w:r w:rsidRPr="00894977">
        <w:rPr>
          <w:highlight w:val="yellow"/>
        </w:rPr>
        <w:t xml:space="preserve">(Man bør i arbeidet med retningslinjen </w:t>
      </w:r>
      <w:r>
        <w:rPr>
          <w:highlight w:val="yellow"/>
        </w:rPr>
        <w:t xml:space="preserve">systematisk </w:t>
      </w:r>
      <w:r w:rsidRPr="00894977">
        <w:rPr>
          <w:highlight w:val="yellow"/>
        </w:rPr>
        <w:t>vurdere innholdet i matrisen over og tabellen under</w:t>
      </w:r>
      <w:r>
        <w:rPr>
          <w:highlight w:val="yellow"/>
        </w:rPr>
        <w:t>,</w:t>
      </w:r>
      <w:r w:rsidRPr="00894977">
        <w:rPr>
          <w:highlight w:val="yellow"/>
        </w:rPr>
        <w:t xml:space="preserve"> slik at man forstår hva de medfører, og </w:t>
      </w:r>
      <w:r>
        <w:rPr>
          <w:highlight w:val="yellow"/>
        </w:rPr>
        <w:t xml:space="preserve">kan </w:t>
      </w:r>
      <w:r w:rsidRPr="00894977">
        <w:rPr>
          <w:highlight w:val="yellow"/>
        </w:rPr>
        <w:t>vurdere om dette er hensiktsmessig for virksomheten</w:t>
      </w:r>
      <w:r>
        <w:rPr>
          <w:highlight w:val="yellow"/>
        </w:rPr>
        <w:t>. Begge kan justeres ut fra virksomhetens behov.</w:t>
      </w:r>
      <w:r w:rsidRPr="00894977">
        <w:rPr>
          <w:highlight w:val="yellow"/>
        </w:rPr>
        <w:t>)</w:t>
      </w:r>
    </w:p>
    <w:p w14:paraId="2385470A" w14:textId="77777777" w:rsidR="00894977" w:rsidRDefault="00894977" w:rsidP="00717D7F">
      <w:pPr>
        <w:rPr>
          <w:b/>
        </w:rPr>
      </w:pPr>
    </w:p>
    <w:p w14:paraId="4B031D47" w14:textId="77777777" w:rsidR="009105F7" w:rsidRDefault="00783588" w:rsidP="00215943">
      <w:pPr>
        <w:keepNext/>
        <w:spacing w:after="160"/>
        <w:rPr>
          <w:b/>
        </w:rPr>
      </w:pPr>
      <w:r w:rsidRPr="00783588">
        <w:rPr>
          <w:b/>
        </w:rPr>
        <w:t xml:space="preserve">Planlegg risikovurderinger iht. tabellen under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6"/>
      </w:tblGrid>
      <w:tr w:rsidR="00A33FBE" w14:paraId="40D86680" w14:textId="77777777" w:rsidTr="005B1F45">
        <w:trPr>
          <w:cantSplit/>
          <w:tblHeader/>
        </w:trPr>
        <w:tc>
          <w:tcPr>
            <w:tcW w:w="1384" w:type="dxa"/>
            <w:shd w:val="clear" w:color="auto" w:fill="auto"/>
          </w:tcPr>
          <w:p w14:paraId="5187140B" w14:textId="77777777" w:rsidR="00A33FBE" w:rsidRPr="005B1F45" w:rsidRDefault="00A33FBE" w:rsidP="005B1F45">
            <w:pPr>
              <w:jc w:val="center"/>
              <w:rPr>
                <w:b/>
              </w:rPr>
            </w:pPr>
            <w:r w:rsidRPr="005B1F45">
              <w:rPr>
                <w:b/>
              </w:rPr>
              <w:t>Prioritets-gruppe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618CF60" w14:textId="77777777" w:rsidR="00A33FBE" w:rsidRPr="005B1F45" w:rsidRDefault="00A33FBE" w:rsidP="00A33FBE">
            <w:pPr>
              <w:rPr>
                <w:b/>
              </w:rPr>
            </w:pPr>
            <w:r w:rsidRPr="005B1F45">
              <w:rPr>
                <w:b/>
              </w:rPr>
              <w:t>Beslutning</w:t>
            </w:r>
          </w:p>
        </w:tc>
      </w:tr>
      <w:tr w:rsidR="00220D35" w:rsidRPr="00A33FBE" w14:paraId="43D8D93C" w14:textId="77777777" w:rsidTr="00DF0647">
        <w:tc>
          <w:tcPr>
            <w:tcW w:w="1384" w:type="dxa"/>
            <w:shd w:val="clear" w:color="auto" w:fill="auto"/>
            <w:vAlign w:val="center"/>
          </w:tcPr>
          <w:p w14:paraId="48E1010F" w14:textId="77777777" w:rsidR="00220D35" w:rsidRPr="00A33FBE" w:rsidRDefault="00220D35" w:rsidP="00DF0647">
            <w:pPr>
              <w:jc w:val="center"/>
            </w:pPr>
            <w:r>
              <w:t>0</w:t>
            </w:r>
          </w:p>
        </w:tc>
        <w:tc>
          <w:tcPr>
            <w:tcW w:w="7826" w:type="dxa"/>
            <w:shd w:val="clear" w:color="auto" w:fill="auto"/>
          </w:tcPr>
          <w:p w14:paraId="7AF27E01" w14:textId="77777777" w:rsidR="00220D35" w:rsidRPr="00A33FBE" w:rsidRDefault="00220D35" w:rsidP="00985833">
            <w:pPr>
              <w:numPr>
                <w:ilvl w:val="0"/>
                <w:numId w:val="2"/>
              </w:numPr>
            </w:pPr>
            <w:r>
              <w:t xml:space="preserve">Det er </w:t>
            </w:r>
            <w:r w:rsidRPr="005B1F45">
              <w:rPr>
                <w:b/>
              </w:rPr>
              <w:t xml:space="preserve">ikke behov </w:t>
            </w:r>
            <w:r>
              <w:t>for å gjennomføre nye eller oppdaterte risikovurderinger</w:t>
            </w:r>
          </w:p>
        </w:tc>
      </w:tr>
      <w:tr w:rsidR="00A33FBE" w:rsidRPr="00A33FBE" w14:paraId="2B4FF75B" w14:textId="77777777" w:rsidTr="00DF0647">
        <w:tc>
          <w:tcPr>
            <w:tcW w:w="1384" w:type="dxa"/>
            <w:shd w:val="clear" w:color="auto" w:fill="auto"/>
            <w:vAlign w:val="center"/>
          </w:tcPr>
          <w:p w14:paraId="7112A9C9" w14:textId="77777777" w:rsidR="00A33FBE" w:rsidRPr="00A33FBE" w:rsidRDefault="00A33FBE" w:rsidP="00DF0647">
            <w:pPr>
              <w:jc w:val="center"/>
            </w:pPr>
            <w:r w:rsidRPr="00A33FBE">
              <w:t>1</w:t>
            </w:r>
            <w:r>
              <w:t xml:space="preserve"> - </w:t>
            </w:r>
            <w:r w:rsidR="00B6641B">
              <w:t>2</w:t>
            </w:r>
          </w:p>
        </w:tc>
        <w:tc>
          <w:tcPr>
            <w:tcW w:w="7826" w:type="dxa"/>
            <w:shd w:val="clear" w:color="auto" w:fill="auto"/>
          </w:tcPr>
          <w:p w14:paraId="74087FCC" w14:textId="77777777" w:rsidR="00A33FBE" w:rsidRDefault="00B53325" w:rsidP="00985833">
            <w:pPr>
              <w:numPr>
                <w:ilvl w:val="0"/>
                <w:numId w:val="2"/>
              </w:numPr>
              <w:ind w:hanging="357"/>
            </w:pPr>
            <w:r>
              <w:t>N</w:t>
            </w:r>
            <w:r w:rsidR="00A33FBE">
              <w:t>y/oppdatert risikovurdering</w:t>
            </w:r>
            <w:r>
              <w:t xml:space="preserve"> skal gjennomføres </w:t>
            </w:r>
            <w:r w:rsidRPr="005B1F45">
              <w:rPr>
                <w:b/>
              </w:rPr>
              <w:t>uten ugrunnet opphold</w:t>
            </w:r>
          </w:p>
          <w:p w14:paraId="051BB803" w14:textId="77777777" w:rsidR="00F42E7A" w:rsidRDefault="00D07EBD" w:rsidP="00985833">
            <w:pPr>
              <w:numPr>
                <w:ilvl w:val="0"/>
                <w:numId w:val="7"/>
              </w:numPr>
            </w:pPr>
            <w:r>
              <w:t>Prioritering skal skje etter prioritetsgruppe</w:t>
            </w:r>
          </w:p>
          <w:p w14:paraId="136F0B28" w14:textId="77777777" w:rsidR="00A33FBE" w:rsidRDefault="00A33FBE" w:rsidP="00985833">
            <w:pPr>
              <w:numPr>
                <w:ilvl w:val="0"/>
                <w:numId w:val="2"/>
              </w:numPr>
              <w:ind w:hanging="357"/>
            </w:pPr>
            <w:r>
              <w:t>Nye arbeidsoppgaver skal ikke startes og nye system skal ikke tas i bruk før ny eller oppdatert risikovurdering er gjennomført og fulgt opp</w:t>
            </w:r>
          </w:p>
          <w:p w14:paraId="260BBC9F" w14:textId="77777777" w:rsidR="00A33FBE" w:rsidRPr="00A33FBE" w:rsidRDefault="00A33FBE" w:rsidP="00985833">
            <w:pPr>
              <w:numPr>
                <w:ilvl w:val="0"/>
                <w:numId w:val="2"/>
              </w:numPr>
            </w:pPr>
            <w:r>
              <w:t xml:space="preserve">Det skal straks vurderes om det er behov for eventuelle midlertidige ekstratiltak eller stopp i gjennomføring av oppgaver og bruk av </w:t>
            </w:r>
            <w:r w:rsidR="00397F6B">
              <w:t>IKT-s</w:t>
            </w:r>
            <w:r>
              <w:t xml:space="preserve">ystem og </w:t>
            </w:r>
            <w:r w:rsidR="00397F6B">
              <w:t xml:space="preserve">annet </w:t>
            </w:r>
            <w:r>
              <w:t>utstyr.</w:t>
            </w:r>
          </w:p>
        </w:tc>
      </w:tr>
      <w:tr w:rsidR="00A33FBE" w:rsidRPr="00A33FBE" w14:paraId="5A0303A6" w14:textId="77777777" w:rsidTr="00DF0647">
        <w:tc>
          <w:tcPr>
            <w:tcW w:w="1384" w:type="dxa"/>
            <w:shd w:val="clear" w:color="auto" w:fill="auto"/>
            <w:vAlign w:val="center"/>
          </w:tcPr>
          <w:p w14:paraId="35D11E7F" w14:textId="77777777" w:rsidR="00A33FBE" w:rsidRPr="00A33FBE" w:rsidRDefault="00B6641B" w:rsidP="00DF0647">
            <w:pPr>
              <w:jc w:val="center"/>
            </w:pPr>
            <w:r>
              <w:t>3</w:t>
            </w:r>
            <w:r w:rsidR="00D07EBD">
              <w:t xml:space="preserve"> - </w:t>
            </w:r>
            <w:r w:rsidR="00BB7F0D">
              <w:t>5</w:t>
            </w:r>
          </w:p>
        </w:tc>
        <w:tc>
          <w:tcPr>
            <w:tcW w:w="7826" w:type="dxa"/>
            <w:shd w:val="clear" w:color="auto" w:fill="auto"/>
          </w:tcPr>
          <w:p w14:paraId="328BD012" w14:textId="77777777" w:rsidR="00A33FBE" w:rsidRDefault="008E2CDE" w:rsidP="00985833">
            <w:pPr>
              <w:numPr>
                <w:ilvl w:val="0"/>
                <w:numId w:val="7"/>
              </w:numPr>
            </w:pPr>
            <w:r>
              <w:t xml:space="preserve">Ny/oppdatert risikovurdering skal gjennomføres </w:t>
            </w:r>
            <w:r w:rsidRPr="005B1F45">
              <w:rPr>
                <w:b/>
              </w:rPr>
              <w:t>innen rimelig tid</w:t>
            </w:r>
          </w:p>
          <w:p w14:paraId="38BA0587" w14:textId="77777777" w:rsidR="008E2CDE" w:rsidRDefault="008E2CDE" w:rsidP="00985833">
            <w:pPr>
              <w:numPr>
                <w:ilvl w:val="0"/>
                <w:numId w:val="7"/>
              </w:numPr>
            </w:pPr>
            <w:r>
              <w:t>Prioritering skal skje etter prioritetsgruppe</w:t>
            </w:r>
            <w:r w:rsidR="00F42E7A">
              <w:t xml:space="preserve"> og ut fra kunnskapsstyrken</w:t>
            </w:r>
            <w:bookmarkStart w:id="47" w:name="_Ref465001178"/>
            <w:r w:rsidR="00A075FF">
              <w:rPr>
                <w:rStyle w:val="Fotnotereferanse"/>
              </w:rPr>
              <w:footnoteReference w:id="5"/>
            </w:r>
            <w:bookmarkEnd w:id="47"/>
            <w:r w:rsidR="00F42E7A">
              <w:t xml:space="preserve"> på tidligere vurderinger</w:t>
            </w:r>
          </w:p>
          <w:p w14:paraId="76634961" w14:textId="77777777" w:rsidR="008E2CDE" w:rsidRPr="00A33FBE" w:rsidRDefault="008E2CDE" w:rsidP="00985833">
            <w:pPr>
              <w:numPr>
                <w:ilvl w:val="0"/>
                <w:numId w:val="7"/>
              </w:numPr>
            </w:pPr>
            <w:r w:rsidRPr="008E2CDE">
              <w:t xml:space="preserve">Nye arbeidsoppgaver kan startes og </w:t>
            </w:r>
            <w:r>
              <w:t xml:space="preserve">nye system kan </w:t>
            </w:r>
            <w:r w:rsidRPr="008E2CDE">
              <w:t>tas i bruk dersom de etableres innen virksomhetens fellessikring</w:t>
            </w:r>
            <w:r w:rsidR="00220D35">
              <w:t xml:space="preserve"> og oppgaven som skal løses er svært viktig for å nå virksomhetens </w:t>
            </w:r>
            <w:r w:rsidR="00C221EF">
              <w:t xml:space="preserve">overordnede </w:t>
            </w:r>
            <w:r w:rsidR="00220D35">
              <w:t>mål</w:t>
            </w:r>
          </w:p>
        </w:tc>
      </w:tr>
      <w:tr w:rsidR="00D802FE" w:rsidRPr="00A33FBE" w14:paraId="3FB48476" w14:textId="77777777" w:rsidTr="00DF0647">
        <w:tc>
          <w:tcPr>
            <w:tcW w:w="1384" w:type="dxa"/>
            <w:shd w:val="clear" w:color="auto" w:fill="auto"/>
            <w:vAlign w:val="center"/>
          </w:tcPr>
          <w:p w14:paraId="40AFE96C" w14:textId="77777777" w:rsidR="00D802FE" w:rsidRDefault="00BB7F0D" w:rsidP="00DF0647">
            <w:pPr>
              <w:jc w:val="center"/>
            </w:pPr>
            <w:r>
              <w:t>6</w:t>
            </w:r>
          </w:p>
        </w:tc>
        <w:tc>
          <w:tcPr>
            <w:tcW w:w="7826" w:type="dxa"/>
            <w:shd w:val="clear" w:color="auto" w:fill="auto"/>
          </w:tcPr>
          <w:p w14:paraId="379AA036" w14:textId="77777777" w:rsidR="00D802FE" w:rsidRDefault="00D802FE" w:rsidP="00985833">
            <w:pPr>
              <w:numPr>
                <w:ilvl w:val="0"/>
                <w:numId w:val="7"/>
              </w:numPr>
            </w:pPr>
            <w:r>
              <w:t xml:space="preserve">Ny/oppdatert risikovurdering skal </w:t>
            </w:r>
            <w:r w:rsidRPr="005B1F45">
              <w:rPr>
                <w:b/>
              </w:rPr>
              <w:t xml:space="preserve">gjennomføres </w:t>
            </w:r>
            <w:r w:rsidR="00C0068D">
              <w:rPr>
                <w:b/>
              </w:rPr>
              <w:t xml:space="preserve">med intervall på </w:t>
            </w:r>
            <w:r w:rsidR="00490F3F">
              <w:rPr>
                <w:b/>
              </w:rPr>
              <w:t xml:space="preserve">maks </w:t>
            </w:r>
            <w:r w:rsidR="00C0068D">
              <w:rPr>
                <w:b/>
              </w:rPr>
              <w:t>3 år</w:t>
            </w:r>
            <w:r w:rsidR="00490F3F">
              <w:rPr>
                <w:b/>
              </w:rPr>
              <w:t>,</w:t>
            </w:r>
            <w:r w:rsidR="00C0068D">
              <w:rPr>
                <w:b/>
              </w:rPr>
              <w:t xml:space="preserve"> </w:t>
            </w:r>
            <w:r w:rsidR="00C0068D" w:rsidRPr="00C0068D">
              <w:rPr>
                <w:b/>
              </w:rPr>
              <w:t>dersom ikke ny kunnskap tilsier gjennomføring tidligere</w:t>
            </w:r>
          </w:p>
          <w:p w14:paraId="42011880" w14:textId="77777777" w:rsidR="00F42E7A" w:rsidRDefault="00F42E7A" w:rsidP="00985833">
            <w:pPr>
              <w:numPr>
                <w:ilvl w:val="0"/>
                <w:numId w:val="7"/>
              </w:numPr>
            </w:pPr>
            <w:r>
              <w:t>Omfanget skal tilpasses kunnskapsstyrken</w:t>
            </w:r>
            <w:r w:rsidR="00A075FF" w:rsidRPr="00A075FF">
              <w:rPr>
                <w:rStyle w:val="Fotnotereferanse"/>
              </w:rPr>
              <w:fldChar w:fldCharType="begin"/>
            </w:r>
            <w:r w:rsidR="00A075FF" w:rsidRPr="00A075FF">
              <w:rPr>
                <w:rStyle w:val="Fotnotereferanse"/>
              </w:rPr>
              <w:instrText xml:space="preserve"> NOTEREF _Ref465001178 \h </w:instrText>
            </w:r>
            <w:r w:rsidR="00A075FF">
              <w:rPr>
                <w:rStyle w:val="Fotnotereferanse"/>
              </w:rPr>
              <w:instrText xml:space="preserve"> \* MERGEFORMAT </w:instrText>
            </w:r>
            <w:r w:rsidR="00A075FF" w:rsidRPr="00A075FF">
              <w:rPr>
                <w:rStyle w:val="Fotnotereferanse"/>
              </w:rPr>
            </w:r>
            <w:r w:rsidR="00A075FF" w:rsidRPr="00A075FF">
              <w:rPr>
                <w:rStyle w:val="Fotnotereferanse"/>
              </w:rPr>
              <w:fldChar w:fldCharType="separate"/>
            </w:r>
            <w:r w:rsidR="00CC0D54">
              <w:rPr>
                <w:rStyle w:val="Fotnotereferanse"/>
              </w:rPr>
              <w:t>4</w:t>
            </w:r>
            <w:r w:rsidR="00A075FF" w:rsidRPr="00A075FF">
              <w:rPr>
                <w:rStyle w:val="Fotnotereferanse"/>
              </w:rPr>
              <w:fldChar w:fldCharType="end"/>
            </w:r>
            <w:r>
              <w:t xml:space="preserve"> på tidligere vurderinger</w:t>
            </w:r>
          </w:p>
          <w:p w14:paraId="3F15BB05" w14:textId="77777777" w:rsidR="00D802FE" w:rsidRDefault="00D802FE" w:rsidP="00985833">
            <w:pPr>
              <w:numPr>
                <w:ilvl w:val="0"/>
                <w:numId w:val="7"/>
              </w:numPr>
            </w:pPr>
            <w:r w:rsidRPr="008E2CDE">
              <w:t xml:space="preserve">Nye arbeidsoppgaver kan startes og </w:t>
            </w:r>
            <w:r>
              <w:t xml:space="preserve">nye system kan </w:t>
            </w:r>
            <w:r w:rsidRPr="008E2CDE">
              <w:t>tas i bruk dersom de etableres innen virksomhetens fellessikring</w:t>
            </w:r>
            <w:r>
              <w:t xml:space="preserve"> og oppgaven som skal løses er svært viktig for å nå virksomhetens overordnede mål</w:t>
            </w:r>
          </w:p>
        </w:tc>
      </w:tr>
    </w:tbl>
    <w:p w14:paraId="0B4A6DF3" w14:textId="77777777" w:rsidR="00B43010" w:rsidRDefault="00B43010" w:rsidP="00D82217">
      <w:pPr>
        <w:spacing w:after="160"/>
        <w:rPr>
          <w:b/>
        </w:rPr>
      </w:pPr>
    </w:p>
    <w:p w14:paraId="4168B6E7" w14:textId="77777777" w:rsidR="00717D7F" w:rsidRDefault="00717D7F" w:rsidP="00717D7F">
      <w:pPr>
        <w:keepNext/>
        <w:rPr>
          <w:b/>
        </w:rPr>
      </w:pPr>
      <w:r>
        <w:rPr>
          <w:b/>
        </w:rPr>
        <w:lastRenderedPageBreak/>
        <w:t>Generel</w:t>
      </w:r>
      <w:r w:rsidR="00AA2766">
        <w:rPr>
          <w:b/>
        </w:rPr>
        <w:t>le</w:t>
      </w:r>
      <w:r>
        <w:rPr>
          <w:b/>
        </w:rPr>
        <w:t xml:space="preserve"> krav:</w:t>
      </w:r>
    </w:p>
    <w:p w14:paraId="693D9B86" w14:textId="77777777" w:rsidR="00345AAF" w:rsidRDefault="002E01A3" w:rsidP="00985833">
      <w:pPr>
        <w:numPr>
          <w:ilvl w:val="0"/>
          <w:numId w:val="8"/>
        </w:numPr>
        <w:ind w:left="714" w:hanging="357"/>
      </w:pPr>
      <w:r>
        <w:t xml:space="preserve">Man skal alltid avslutningsvis </w:t>
      </w:r>
      <w:r w:rsidR="00345AAF">
        <w:t xml:space="preserve">for hvert område </w:t>
      </w:r>
      <w:r>
        <w:t xml:space="preserve">vurdere om </w:t>
      </w:r>
      <w:r w:rsidR="00345AAF">
        <w:t xml:space="preserve">man </w:t>
      </w:r>
      <w:r>
        <w:t xml:space="preserve">har </w:t>
      </w:r>
      <w:r w:rsidR="00345AAF">
        <w:t xml:space="preserve">spesielt høye risikoer </w:t>
      </w:r>
      <w:r w:rsidR="004609A6">
        <w:t xml:space="preserve">(jf. spørsmål 9) </w:t>
      </w:r>
      <w:r>
        <w:t xml:space="preserve">og stor usikkerhet rundt disse. </w:t>
      </w:r>
      <w:r w:rsidR="00345AAF">
        <w:t>Dette kan kreve en skjønnsmessig høyere prioritering av området enn det som følger av tabellene over</w:t>
      </w:r>
      <w:r w:rsidR="001B28AE">
        <w:rPr>
          <w:rStyle w:val="Fotnotereferanse"/>
        </w:rPr>
        <w:footnoteReference w:id="6"/>
      </w:r>
      <w:r w:rsidR="001B28AE">
        <w:t xml:space="preserve">. </w:t>
      </w:r>
      <w:r w:rsidR="00345AAF">
        <w:t xml:space="preserve">En annen </w:t>
      </w:r>
      <w:proofErr w:type="gramStart"/>
      <w:r w:rsidR="00345AAF">
        <w:t xml:space="preserve">prioritering  </w:t>
      </w:r>
      <w:r w:rsidR="001B28AE">
        <w:t>enn</w:t>
      </w:r>
      <w:proofErr w:type="gramEnd"/>
      <w:r w:rsidR="001B28AE">
        <w:t xml:space="preserve"> i tabellene </w:t>
      </w:r>
      <w:r w:rsidR="00345AAF">
        <w:t>skal kort begrunnes i de skjema man benytter.</w:t>
      </w:r>
    </w:p>
    <w:p w14:paraId="1FAB35C7" w14:textId="77777777" w:rsidR="00717D7F" w:rsidRPr="00717D7F" w:rsidRDefault="00717D7F" w:rsidP="00985833">
      <w:pPr>
        <w:numPr>
          <w:ilvl w:val="0"/>
          <w:numId w:val="8"/>
        </w:numPr>
        <w:spacing w:after="160"/>
      </w:pPr>
      <w:r>
        <w:t>R</w:t>
      </w:r>
      <w:r w:rsidRPr="00802D42">
        <w:t xml:space="preserve">essursinnsats og fokus </w:t>
      </w:r>
      <w:r>
        <w:t>i</w:t>
      </w:r>
      <w:r w:rsidRPr="00802D42">
        <w:t xml:space="preserve"> nødvendige risikovurderinger skal tilpasses områdets egenart</w:t>
      </w:r>
      <w:r>
        <w:t>,</w:t>
      </w:r>
      <w:r w:rsidRPr="00802D42">
        <w:t xml:space="preserve"> </w:t>
      </w:r>
      <w:proofErr w:type="gramStart"/>
      <w:r>
        <w:t>potensielt</w:t>
      </w:r>
      <w:proofErr w:type="gramEnd"/>
      <w:r>
        <w:t xml:space="preserve"> konsekvensnivå, </w:t>
      </w:r>
      <w:r w:rsidRPr="00802D42">
        <w:t>antatt risikostørrelse</w:t>
      </w:r>
      <w:r>
        <w:t xml:space="preserve"> og de foranalyser som er gjennomført.</w:t>
      </w:r>
    </w:p>
    <w:p w14:paraId="063AD828" w14:textId="77777777" w:rsidR="00717D7F" w:rsidRDefault="00717D7F" w:rsidP="00735C01">
      <w:pPr>
        <w:keepNext/>
        <w:rPr>
          <w:b/>
        </w:rPr>
      </w:pPr>
    </w:p>
    <w:p w14:paraId="1A83273D" w14:textId="77777777" w:rsidR="000D7F14" w:rsidRDefault="000D7F14" w:rsidP="000D7F14">
      <w:pPr>
        <w:spacing w:after="160"/>
      </w:pPr>
    </w:p>
    <w:sectPr w:rsidR="000D7F14" w:rsidSect="00F24610">
      <w:headerReference w:type="default" r:id="rId12"/>
      <w:footerReference w:type="default" r:id="rId13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249F" w14:textId="77777777" w:rsidR="00660CAC" w:rsidRDefault="00660CAC">
      <w:r>
        <w:separator/>
      </w:r>
    </w:p>
  </w:endnote>
  <w:endnote w:type="continuationSeparator" w:id="0">
    <w:p w14:paraId="30ADB3E0" w14:textId="77777777" w:rsidR="00660CAC" w:rsidRDefault="006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1800"/>
      <w:gridCol w:w="2520"/>
      <w:gridCol w:w="1904"/>
    </w:tblGrid>
    <w:tr w:rsidR="00FB0A50" w14:paraId="57AC96DB" w14:textId="77777777">
      <w:tc>
        <w:tcPr>
          <w:tcW w:w="2988" w:type="dxa"/>
        </w:tcPr>
        <w:p w14:paraId="5C52BD0B" w14:textId="77777777" w:rsidR="00FB0A50" w:rsidRDefault="00FB0A50">
          <w:pPr>
            <w:rPr>
              <w:b/>
              <w:sz w:val="20"/>
            </w:rPr>
          </w:pPr>
          <w:r>
            <w:rPr>
              <w:b/>
              <w:sz w:val="20"/>
            </w:rPr>
            <w:t>Type: Retningslinje</w:t>
          </w:r>
        </w:p>
      </w:tc>
      <w:tc>
        <w:tcPr>
          <w:tcW w:w="1800" w:type="dxa"/>
        </w:tcPr>
        <w:p w14:paraId="6D2B2E74" w14:textId="77777777" w:rsidR="00FB0A50" w:rsidRDefault="009B0AC6" w:rsidP="00F24610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Versjon </w:t>
          </w:r>
          <w:r w:rsidR="00F24610">
            <w:rPr>
              <w:b/>
              <w:bCs/>
              <w:sz w:val="20"/>
            </w:rPr>
            <w:t>1.</w:t>
          </w:r>
          <w:r w:rsidR="00F012CA">
            <w:rPr>
              <w:b/>
              <w:bCs/>
              <w:sz w:val="20"/>
            </w:rPr>
            <w:t>1</w:t>
          </w:r>
        </w:p>
      </w:tc>
      <w:tc>
        <w:tcPr>
          <w:tcW w:w="2520" w:type="dxa"/>
        </w:tcPr>
        <w:p w14:paraId="2CA201B7" w14:textId="77777777" w:rsidR="00FB0A50" w:rsidRDefault="00FB0A50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>Arkivsak: 201</w:t>
          </w:r>
          <w:r w:rsidR="00A33457">
            <w:rPr>
              <w:b/>
              <w:bCs/>
              <w:sz w:val="20"/>
            </w:rPr>
            <w:t>6</w:t>
          </w:r>
          <w:r>
            <w:rPr>
              <w:b/>
              <w:bCs/>
              <w:sz w:val="20"/>
            </w:rPr>
            <w:t>/</w:t>
          </w:r>
          <w:r w:rsidR="00F24610">
            <w:rPr>
              <w:b/>
              <w:bCs/>
              <w:sz w:val="20"/>
            </w:rPr>
            <w:t>250</w:t>
          </w:r>
        </w:p>
      </w:tc>
      <w:tc>
        <w:tcPr>
          <w:tcW w:w="1904" w:type="dxa"/>
        </w:tcPr>
        <w:p w14:paraId="5E28A0C5" w14:textId="77777777" w:rsidR="00FB0A50" w:rsidRDefault="00FB0A50">
          <w:pPr>
            <w:pStyle w:val="Bunntekst"/>
            <w:rPr>
              <w:b/>
              <w:sz w:val="20"/>
            </w:rPr>
          </w:pPr>
          <w:r>
            <w:rPr>
              <w:b/>
              <w:sz w:val="20"/>
            </w:rPr>
            <w:t xml:space="preserve">Side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PAGE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88654F">
            <w:rPr>
              <w:rStyle w:val="Sidetall"/>
              <w:b/>
              <w:noProof/>
              <w:sz w:val="20"/>
            </w:rPr>
            <w:t>6</w:t>
          </w:r>
          <w:r>
            <w:rPr>
              <w:rStyle w:val="Sidetall"/>
              <w:b/>
              <w:sz w:val="20"/>
            </w:rPr>
            <w:fldChar w:fldCharType="end"/>
          </w:r>
          <w:r>
            <w:rPr>
              <w:rStyle w:val="Sidetall"/>
              <w:b/>
              <w:sz w:val="20"/>
            </w:rPr>
            <w:t xml:space="preserve"> av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NUMPAGES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88654F">
            <w:rPr>
              <w:rStyle w:val="Sidetall"/>
              <w:b/>
              <w:noProof/>
              <w:sz w:val="20"/>
            </w:rPr>
            <w:t>6</w:t>
          </w:r>
          <w:r>
            <w:rPr>
              <w:rStyle w:val="Sidetall"/>
              <w:b/>
              <w:sz w:val="20"/>
            </w:rPr>
            <w:fldChar w:fldCharType="end"/>
          </w:r>
        </w:p>
      </w:tc>
    </w:tr>
    <w:tr w:rsidR="00FB0A50" w14:paraId="17127D2D" w14:textId="77777777">
      <w:tc>
        <w:tcPr>
          <w:tcW w:w="4788" w:type="dxa"/>
          <w:gridSpan w:val="2"/>
        </w:tcPr>
        <w:p w14:paraId="132441FA" w14:textId="77777777" w:rsidR="00FB0A50" w:rsidRDefault="00FB0A50" w:rsidP="00C8240A">
          <w:pPr>
            <w:rPr>
              <w:b/>
              <w:sz w:val="20"/>
            </w:rPr>
          </w:pPr>
          <w:r>
            <w:rPr>
              <w:b/>
              <w:sz w:val="20"/>
            </w:rPr>
            <w:t>Område: Internkontroll</w:t>
          </w:r>
        </w:p>
      </w:tc>
      <w:tc>
        <w:tcPr>
          <w:tcW w:w="2520" w:type="dxa"/>
        </w:tcPr>
        <w:p w14:paraId="7103D54E" w14:textId="77777777" w:rsidR="00FB0A50" w:rsidRDefault="00451D42" w:rsidP="00D82217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Godkjent dato: </w:t>
          </w:r>
        </w:p>
      </w:tc>
      <w:tc>
        <w:tcPr>
          <w:tcW w:w="1904" w:type="dxa"/>
        </w:tcPr>
        <w:p w14:paraId="3B1B0819" w14:textId="77777777" w:rsidR="00FB0A50" w:rsidRDefault="00FB0A50" w:rsidP="009B0AC6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Godkjent av: </w:t>
          </w:r>
          <w:r w:rsidR="00A712C2">
            <w:rPr>
              <w:b/>
              <w:bCs/>
              <w:sz w:val="20"/>
            </w:rPr>
            <w:t>KRG</w:t>
          </w:r>
        </w:p>
      </w:tc>
    </w:tr>
  </w:tbl>
  <w:p w14:paraId="3B58F5E0" w14:textId="77777777" w:rsidR="00FB0A50" w:rsidRDefault="00FB0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0E15" w14:textId="77777777" w:rsidR="00660CAC" w:rsidRDefault="00660CAC">
      <w:r>
        <w:separator/>
      </w:r>
    </w:p>
  </w:footnote>
  <w:footnote w:type="continuationSeparator" w:id="0">
    <w:p w14:paraId="3D417284" w14:textId="77777777" w:rsidR="00660CAC" w:rsidRDefault="00660CAC">
      <w:r>
        <w:continuationSeparator/>
      </w:r>
    </w:p>
  </w:footnote>
  <w:footnote w:id="1">
    <w:p w14:paraId="506472EB" w14:textId="77777777" w:rsidR="007F17E5" w:rsidRDefault="007F17E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7F17E5">
        <w:t xml:space="preserve">Alle IKT-system og annet teknisk utstyr som benyttes av flere </w:t>
      </w:r>
      <w:r>
        <w:t>organisatoriske enheter</w:t>
      </w:r>
      <w:r w:rsidRPr="007F17E5">
        <w:t xml:space="preserve"> kalles fellessystem.</w:t>
      </w:r>
    </w:p>
  </w:footnote>
  <w:footnote w:id="2">
    <w:p w14:paraId="38998E3E" w14:textId="238A9187" w:rsidR="00566FD2" w:rsidRDefault="00566FD2" w:rsidP="00566FD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62500">
        <w:t>«Høyeste konsekvensnivå» er det høyeste nivået på konsekvenser på området som man med en viss grad av sannsynlighet må regne med kan inntreffe. Urealistiske utfall holdes derfor utenfor.</w:t>
      </w:r>
      <w:r>
        <w:t xml:space="preserve"> </w:t>
      </w:r>
      <w:r w:rsidRPr="00662500">
        <w:t xml:space="preserve">For støtte </w:t>
      </w:r>
      <w:r>
        <w:t>til å finne riktig nivå:</w:t>
      </w:r>
      <w:r w:rsidRPr="00662500">
        <w:t xml:space="preserve"> </w:t>
      </w:r>
      <w:r w:rsidR="004413C9">
        <w:t>Se vedlegg D i retningslinjen</w:t>
      </w:r>
      <w:r w:rsidRPr="00662500">
        <w:rPr>
          <w:i/>
        </w:rPr>
        <w:t xml:space="preserve"> Forstå, vurdere og håndtere risiko</w:t>
      </w:r>
      <w:r w:rsidRPr="00662500">
        <w:t xml:space="preserve">. </w:t>
      </w:r>
    </w:p>
  </w:footnote>
  <w:footnote w:id="3">
    <w:p w14:paraId="75F2B770" w14:textId="15FDB6A5" w:rsidR="00566FD2" w:rsidRDefault="00566FD2" w:rsidP="00566FD2">
      <w:pPr>
        <w:pStyle w:val="Fotnotetekst"/>
      </w:pPr>
      <w:r>
        <w:rPr>
          <w:rStyle w:val="Fotnotereferanse"/>
        </w:rPr>
        <w:footnoteRef/>
      </w:r>
      <w:r w:rsidR="001B28AE">
        <w:t xml:space="preserve"> For støtte til </w:t>
      </w:r>
      <w:r>
        <w:t>antatt høyeste risikonivå: Se eventuelt r</w:t>
      </w:r>
      <w:r w:rsidRPr="00BF1AE9">
        <w:t>esultat fra tidligere risikovurderinger</w:t>
      </w:r>
      <w:r w:rsidR="001B28AE">
        <w:t xml:space="preserve">, </w:t>
      </w:r>
      <w:r>
        <w:t xml:space="preserve">vedlegg C, D og E </w:t>
      </w:r>
      <w:r w:rsidR="004413C9">
        <w:t>i retningslinjen</w:t>
      </w:r>
      <w:r w:rsidRPr="00662500">
        <w:rPr>
          <w:i/>
        </w:rPr>
        <w:t xml:space="preserve"> Forstå, vurdere og håndtere risiko</w:t>
      </w:r>
      <w:r w:rsidR="001B28AE">
        <w:t>, samt støttespørsmålene i vedlegg A her.</w:t>
      </w:r>
    </w:p>
  </w:footnote>
  <w:footnote w:id="4">
    <w:p w14:paraId="7B74387F" w14:textId="4154A02C" w:rsidR="00566FD2" w:rsidRDefault="00566FD2" w:rsidP="00566FD2">
      <w:pPr>
        <w:pStyle w:val="Fotnotetekst"/>
      </w:pPr>
      <w:r>
        <w:rPr>
          <w:rStyle w:val="Fotnotereferanse"/>
        </w:rPr>
        <w:footnoteRef/>
      </w:r>
      <w:r>
        <w:t xml:space="preserve"> Kriterier for å akseptere risiko: </w:t>
      </w:r>
      <w:r w:rsidR="004413C9">
        <w:t>S</w:t>
      </w:r>
      <w:r>
        <w:t xml:space="preserve">e vedlegg B </w:t>
      </w:r>
      <w:r w:rsidRPr="00662500">
        <w:t xml:space="preserve">i </w:t>
      </w:r>
      <w:r w:rsidRPr="00662500">
        <w:rPr>
          <w:i/>
        </w:rPr>
        <w:t>Retningslinje: Forstå, vurdere og håndtere risiko</w:t>
      </w:r>
      <w:r w:rsidRPr="00662500">
        <w:t>.</w:t>
      </w:r>
    </w:p>
  </w:footnote>
  <w:footnote w:id="5">
    <w:p w14:paraId="34A8673C" w14:textId="4A48811C" w:rsidR="00A075FF" w:rsidRDefault="00A075FF">
      <w:pPr>
        <w:pStyle w:val="Fotnotetekst"/>
      </w:pPr>
      <w:r>
        <w:rPr>
          <w:rStyle w:val="Fotnotereferanse"/>
        </w:rPr>
        <w:footnoteRef/>
      </w:r>
      <w:r>
        <w:t xml:space="preserve"> Kunnskapsstyrke </w:t>
      </w:r>
      <w:r w:rsidRPr="002D0C22">
        <w:t>et uttrykk</w:t>
      </w:r>
      <w:r w:rsidR="00F358A8">
        <w:t xml:space="preserve"> </w:t>
      </w:r>
      <w:proofErr w:type="gramStart"/>
      <w:r w:rsidR="00F358A8">
        <w:t>for</w:t>
      </w:r>
      <w:r w:rsidRPr="002D0C22">
        <w:t xml:space="preserve">  hvor</w:t>
      </w:r>
      <w:proofErr w:type="gramEnd"/>
      <w:r w:rsidRPr="002D0C22">
        <w:t xml:space="preserve"> </w:t>
      </w:r>
      <w:r w:rsidR="00365E85">
        <w:t>god</w:t>
      </w:r>
      <w:r w:rsidRPr="002D0C22">
        <w:t xml:space="preserve"> bakgrunnskunnskap </w:t>
      </w:r>
      <w:r>
        <w:t xml:space="preserve">og kvalitet </w:t>
      </w:r>
      <w:r w:rsidRPr="002D0C22">
        <w:t xml:space="preserve">vi har hatt i arbeidet med våre </w:t>
      </w:r>
      <w:r>
        <w:t>risikovurderinger og risikohåndtering</w:t>
      </w:r>
      <w:r w:rsidR="00365E85">
        <w:t xml:space="preserve">, </w:t>
      </w:r>
      <w:r w:rsidR="00365E85" w:rsidRPr="00365E85">
        <w:t>og dermed hvor sikre vi er på estimatene</w:t>
      </w:r>
      <w:r w:rsidR="00365E85">
        <w:t xml:space="preserve"> av konsekvens, sannsynlighet og risiko</w:t>
      </w:r>
      <w:r>
        <w:t>. Nivåene la</w:t>
      </w:r>
      <w:r w:rsidR="00562045">
        <w:t>v, moderat og høy skal benyttes på kunnskapsstyrke.</w:t>
      </w:r>
    </w:p>
  </w:footnote>
  <w:footnote w:id="6">
    <w:p w14:paraId="3B8D2F74" w14:textId="77777777" w:rsidR="001B28AE" w:rsidRDefault="001B28AE" w:rsidP="001B28A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1B28AE">
        <w:t>Tabellene baserer seg kun på høyeste konsekvensnivå i prioriteringen, ikke høyeste risikonivå</w:t>
      </w:r>
      <w:r>
        <w:t>.</w:t>
      </w:r>
      <w:r w:rsidRPr="001B28AE">
        <w:t xml:space="preserve"> </w:t>
      </w:r>
      <w:r>
        <w:t>Den forenkling dette representerer gir en mulig feilkilde i prioriteringen som i stor grad skal rettes opp med dette generelle kravet.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36"/>
      <w:gridCol w:w="6555"/>
    </w:tblGrid>
    <w:tr w:rsidR="00FB0A50" w14:paraId="6414669D" w14:textId="77777777" w:rsidTr="002F5E2D">
      <w:tc>
        <w:tcPr>
          <w:tcW w:w="3828" w:type="dxa"/>
        </w:tcPr>
        <w:p w14:paraId="6E24B47D" w14:textId="77777777" w:rsidR="00FB0A50" w:rsidRPr="000605BC" w:rsidRDefault="00CC17B6" w:rsidP="000605BC">
          <w:pPr>
            <w:pStyle w:val="Topptekst"/>
            <w:jc w:val="both"/>
            <w:rPr>
              <w:noProof/>
              <w:lang w:eastAsia="nb-NO"/>
            </w:rPr>
          </w:pPr>
          <w:r>
            <w:rPr>
              <w:noProof/>
              <w:lang w:eastAsia="nb-NO"/>
            </w:rPr>
            <w:drawing>
              <wp:inline distT="0" distB="0" distL="0" distR="0" wp14:anchorId="389808E7" wp14:editId="3B9A63CE">
                <wp:extent cx="2362200" cy="51435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14:paraId="112D0624" w14:textId="360C00FD" w:rsidR="00FB0A50" w:rsidRPr="00D82217" w:rsidRDefault="002F5E2D" w:rsidP="00C8240A">
          <w:pPr>
            <w:pStyle w:val="Topptekst"/>
            <w:rPr>
              <w:b/>
              <w:color w:val="2E74B5"/>
              <w:sz w:val="28"/>
            </w:rPr>
          </w:pPr>
          <w:r>
            <w:rPr>
              <w:b/>
              <w:color w:val="2E74B5"/>
              <w:sz w:val="28"/>
            </w:rPr>
            <w:t xml:space="preserve">Retningslinje – </w:t>
          </w:r>
          <w:r w:rsidR="00605ABC" w:rsidRPr="00D82217">
            <w:rPr>
              <w:b/>
              <w:color w:val="2E74B5"/>
              <w:sz w:val="28"/>
            </w:rPr>
            <w:t>Vurdere behov for risiko</w:t>
          </w:r>
          <w:r w:rsidR="00005A78">
            <w:rPr>
              <w:b/>
              <w:color w:val="2E74B5"/>
              <w:sz w:val="28"/>
            </w:rPr>
            <w:softHyphen/>
          </w:r>
          <w:r w:rsidR="00605ABC" w:rsidRPr="00D82217">
            <w:rPr>
              <w:b/>
              <w:color w:val="2E74B5"/>
              <w:sz w:val="28"/>
            </w:rPr>
            <w:t>vurderinger</w:t>
          </w:r>
        </w:p>
        <w:p w14:paraId="075147C2" w14:textId="77777777" w:rsidR="008A0B40" w:rsidRDefault="008A0B40" w:rsidP="00D82217">
          <w:pPr>
            <w:pStyle w:val="Topptekst"/>
            <w:rPr>
              <w:b/>
              <w:color w:val="FF0000"/>
              <w:sz w:val="20"/>
            </w:rPr>
          </w:pPr>
        </w:p>
        <w:p w14:paraId="543A8530" w14:textId="47BE1CDA" w:rsidR="00FB0A50" w:rsidRPr="00F24610" w:rsidRDefault="00FB0A50" w:rsidP="00B848B5">
          <w:pPr>
            <w:pStyle w:val="Topptekst"/>
            <w:rPr>
              <w:b/>
              <w:color w:val="FF0000"/>
              <w:sz w:val="20"/>
            </w:rPr>
          </w:pPr>
          <w:r w:rsidRPr="00F24610">
            <w:rPr>
              <w:b/>
              <w:color w:val="FF0000"/>
              <w:sz w:val="20"/>
            </w:rPr>
            <w:t>(EKSEMPEL</w:t>
          </w:r>
          <w:r w:rsidR="00451D42">
            <w:rPr>
              <w:b/>
              <w:color w:val="FF0000"/>
              <w:sz w:val="20"/>
            </w:rPr>
            <w:t xml:space="preserve"> p</w:t>
          </w:r>
          <w:r w:rsidR="00DB34AA">
            <w:rPr>
              <w:b/>
              <w:color w:val="FF0000"/>
              <w:sz w:val="20"/>
            </w:rPr>
            <w:t>e</w:t>
          </w:r>
          <w:r w:rsidR="00451D42">
            <w:rPr>
              <w:b/>
              <w:color w:val="FF0000"/>
              <w:sz w:val="20"/>
            </w:rPr>
            <w:t xml:space="preserve">r </w:t>
          </w:r>
          <w:r w:rsidR="00F017AE">
            <w:rPr>
              <w:b/>
              <w:color w:val="FF0000"/>
              <w:sz w:val="20"/>
            </w:rPr>
            <w:t>1</w:t>
          </w:r>
          <w:r w:rsidR="00451D42">
            <w:rPr>
              <w:b/>
              <w:color w:val="FF0000"/>
              <w:sz w:val="20"/>
            </w:rPr>
            <w:t>.</w:t>
          </w:r>
          <w:r w:rsidR="00C1220A">
            <w:rPr>
              <w:b/>
              <w:color w:val="FF0000"/>
              <w:sz w:val="20"/>
            </w:rPr>
            <w:t>1</w:t>
          </w:r>
          <w:r w:rsidR="00451D42">
            <w:rPr>
              <w:b/>
              <w:color w:val="FF0000"/>
              <w:sz w:val="20"/>
            </w:rPr>
            <w:t>.20</w:t>
          </w:r>
          <w:r w:rsidR="00C1220A">
            <w:rPr>
              <w:b/>
              <w:color w:val="FF0000"/>
              <w:sz w:val="20"/>
            </w:rPr>
            <w:t>22</w:t>
          </w:r>
          <w:r w:rsidR="000605BC" w:rsidRPr="00F24610">
            <w:rPr>
              <w:b/>
              <w:color w:val="FF0000"/>
              <w:sz w:val="20"/>
            </w:rPr>
            <w:t xml:space="preserve"> </w:t>
          </w:r>
          <w:r w:rsidR="000A5CE0">
            <w:rPr>
              <w:b/>
              <w:color w:val="FF0000"/>
              <w:sz w:val="20"/>
            </w:rPr>
            <w:t>-</w:t>
          </w:r>
          <w:r w:rsidR="000605BC" w:rsidRPr="00F24610">
            <w:rPr>
              <w:b/>
              <w:color w:val="FF0000"/>
              <w:sz w:val="20"/>
            </w:rPr>
            <w:t xml:space="preserve"> utarbeidet av </w:t>
          </w:r>
          <w:r w:rsidR="0007617F">
            <w:rPr>
              <w:b/>
              <w:color w:val="FF0000"/>
              <w:sz w:val="20"/>
            </w:rPr>
            <w:t>Digitaliseringsdirektoratet</w:t>
          </w:r>
          <w:r w:rsidRPr="00F24610">
            <w:rPr>
              <w:b/>
              <w:color w:val="FF0000"/>
              <w:sz w:val="20"/>
            </w:rPr>
            <w:t>)</w:t>
          </w:r>
        </w:p>
      </w:tc>
    </w:tr>
  </w:tbl>
  <w:p w14:paraId="7DB18F9D" w14:textId="77777777" w:rsidR="00FB0A50" w:rsidRDefault="00FB0A50">
    <w:pPr>
      <w:pStyle w:val="Top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E9F"/>
    <w:multiLevelType w:val="hybridMultilevel"/>
    <w:tmpl w:val="9A8A4932"/>
    <w:lvl w:ilvl="0" w:tplc="345AB1EA">
      <w:start w:val="4"/>
      <w:numFmt w:val="decimal"/>
      <w:pStyle w:val="Overskrift3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B984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C3775"/>
    <w:multiLevelType w:val="hybridMultilevel"/>
    <w:tmpl w:val="76340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44C6"/>
    <w:multiLevelType w:val="hybridMultilevel"/>
    <w:tmpl w:val="28C69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0BC"/>
    <w:multiLevelType w:val="hybridMultilevel"/>
    <w:tmpl w:val="57C6CC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2357"/>
    <w:multiLevelType w:val="hybridMultilevel"/>
    <w:tmpl w:val="D8583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0CB6"/>
    <w:multiLevelType w:val="hybridMultilevel"/>
    <w:tmpl w:val="DDEEB1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56A1E"/>
    <w:multiLevelType w:val="hybridMultilevel"/>
    <w:tmpl w:val="7DEC3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B695C"/>
    <w:multiLevelType w:val="multilevel"/>
    <w:tmpl w:val="CBA63694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C865A3"/>
    <w:multiLevelType w:val="hybridMultilevel"/>
    <w:tmpl w:val="BB38D9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BF44DD"/>
    <w:multiLevelType w:val="hybridMultilevel"/>
    <w:tmpl w:val="158CE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477B2"/>
    <w:multiLevelType w:val="hybridMultilevel"/>
    <w:tmpl w:val="56BAA4FE"/>
    <w:lvl w:ilvl="0" w:tplc="0414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1" w15:restartNumberingAfterBreak="0">
    <w:nsid w:val="7242254C"/>
    <w:multiLevelType w:val="hybridMultilevel"/>
    <w:tmpl w:val="0F14E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9E"/>
    <w:rsid w:val="000008C5"/>
    <w:rsid w:val="00003B6C"/>
    <w:rsid w:val="000048F8"/>
    <w:rsid w:val="00005A78"/>
    <w:rsid w:val="000070AC"/>
    <w:rsid w:val="00016E2D"/>
    <w:rsid w:val="00023578"/>
    <w:rsid w:val="0002375E"/>
    <w:rsid w:val="00025306"/>
    <w:rsid w:val="000264E8"/>
    <w:rsid w:val="00030D08"/>
    <w:rsid w:val="00032309"/>
    <w:rsid w:val="000336CA"/>
    <w:rsid w:val="000350E4"/>
    <w:rsid w:val="00041B82"/>
    <w:rsid w:val="000448FB"/>
    <w:rsid w:val="00045100"/>
    <w:rsid w:val="00046389"/>
    <w:rsid w:val="00051DD7"/>
    <w:rsid w:val="000605BC"/>
    <w:rsid w:val="00061FFB"/>
    <w:rsid w:val="00063A4A"/>
    <w:rsid w:val="00071575"/>
    <w:rsid w:val="0007476B"/>
    <w:rsid w:val="0007617F"/>
    <w:rsid w:val="00090342"/>
    <w:rsid w:val="000A31A6"/>
    <w:rsid w:val="000A3CD1"/>
    <w:rsid w:val="000A4D50"/>
    <w:rsid w:val="000A5CE0"/>
    <w:rsid w:val="000B0795"/>
    <w:rsid w:val="000B46B7"/>
    <w:rsid w:val="000C07C2"/>
    <w:rsid w:val="000C1B71"/>
    <w:rsid w:val="000C1C95"/>
    <w:rsid w:val="000C444A"/>
    <w:rsid w:val="000C4B4F"/>
    <w:rsid w:val="000C6F77"/>
    <w:rsid w:val="000D0A7B"/>
    <w:rsid w:val="000D6AEA"/>
    <w:rsid w:val="000D7489"/>
    <w:rsid w:val="000D7F14"/>
    <w:rsid w:val="000F231E"/>
    <w:rsid w:val="00100F0D"/>
    <w:rsid w:val="0010315B"/>
    <w:rsid w:val="001039C3"/>
    <w:rsid w:val="00107019"/>
    <w:rsid w:val="00110387"/>
    <w:rsid w:val="00110770"/>
    <w:rsid w:val="00116B5C"/>
    <w:rsid w:val="00125EBD"/>
    <w:rsid w:val="00127FF5"/>
    <w:rsid w:val="00131331"/>
    <w:rsid w:val="00132BB9"/>
    <w:rsid w:val="00133BD5"/>
    <w:rsid w:val="00137A8E"/>
    <w:rsid w:val="00140517"/>
    <w:rsid w:val="00146F07"/>
    <w:rsid w:val="001479E5"/>
    <w:rsid w:val="00151653"/>
    <w:rsid w:val="00153A31"/>
    <w:rsid w:val="0015717E"/>
    <w:rsid w:val="0015740A"/>
    <w:rsid w:val="00161759"/>
    <w:rsid w:val="001636B8"/>
    <w:rsid w:val="00163BED"/>
    <w:rsid w:val="00163DA2"/>
    <w:rsid w:val="001725CC"/>
    <w:rsid w:val="001774A6"/>
    <w:rsid w:val="0018220F"/>
    <w:rsid w:val="00183A2A"/>
    <w:rsid w:val="00184D0F"/>
    <w:rsid w:val="00186165"/>
    <w:rsid w:val="00191475"/>
    <w:rsid w:val="00194988"/>
    <w:rsid w:val="00196C91"/>
    <w:rsid w:val="001A0525"/>
    <w:rsid w:val="001A0BAC"/>
    <w:rsid w:val="001A512D"/>
    <w:rsid w:val="001B1E28"/>
    <w:rsid w:val="001B28AE"/>
    <w:rsid w:val="001C07FE"/>
    <w:rsid w:val="001D023F"/>
    <w:rsid w:val="001D0577"/>
    <w:rsid w:val="001D2D8B"/>
    <w:rsid w:val="001D64D1"/>
    <w:rsid w:val="001D6DFA"/>
    <w:rsid w:val="001E3AC4"/>
    <w:rsid w:val="001E3C44"/>
    <w:rsid w:val="001E4898"/>
    <w:rsid w:val="001F0B90"/>
    <w:rsid w:val="001F213C"/>
    <w:rsid w:val="001F33EE"/>
    <w:rsid w:val="001F5E4C"/>
    <w:rsid w:val="001F734B"/>
    <w:rsid w:val="00200C30"/>
    <w:rsid w:val="00200E3D"/>
    <w:rsid w:val="002048DC"/>
    <w:rsid w:val="002056DC"/>
    <w:rsid w:val="00205993"/>
    <w:rsid w:val="00205F7A"/>
    <w:rsid w:val="002062EB"/>
    <w:rsid w:val="00212636"/>
    <w:rsid w:val="00215943"/>
    <w:rsid w:val="00220D35"/>
    <w:rsid w:val="00226766"/>
    <w:rsid w:val="0023404E"/>
    <w:rsid w:val="0023430E"/>
    <w:rsid w:val="002363E4"/>
    <w:rsid w:val="0023776C"/>
    <w:rsid w:val="00240FF9"/>
    <w:rsid w:val="00245364"/>
    <w:rsid w:val="00251A7D"/>
    <w:rsid w:val="002526D2"/>
    <w:rsid w:val="00253CCD"/>
    <w:rsid w:val="002552BA"/>
    <w:rsid w:val="00257261"/>
    <w:rsid w:val="002600F2"/>
    <w:rsid w:val="00261B2F"/>
    <w:rsid w:val="00264178"/>
    <w:rsid w:val="00270B38"/>
    <w:rsid w:val="00272279"/>
    <w:rsid w:val="0027377F"/>
    <w:rsid w:val="00274020"/>
    <w:rsid w:val="002823D8"/>
    <w:rsid w:val="00285AC7"/>
    <w:rsid w:val="00290846"/>
    <w:rsid w:val="00296040"/>
    <w:rsid w:val="00296218"/>
    <w:rsid w:val="002A2142"/>
    <w:rsid w:val="002A489F"/>
    <w:rsid w:val="002A60AE"/>
    <w:rsid w:val="002A7262"/>
    <w:rsid w:val="002B7203"/>
    <w:rsid w:val="002C528B"/>
    <w:rsid w:val="002C6D6D"/>
    <w:rsid w:val="002D0265"/>
    <w:rsid w:val="002D0DCC"/>
    <w:rsid w:val="002D184D"/>
    <w:rsid w:val="002D5BFB"/>
    <w:rsid w:val="002D6F92"/>
    <w:rsid w:val="002D779A"/>
    <w:rsid w:val="002E01A3"/>
    <w:rsid w:val="002E0E7C"/>
    <w:rsid w:val="002E580F"/>
    <w:rsid w:val="002E7B5B"/>
    <w:rsid w:val="002F1382"/>
    <w:rsid w:val="002F4DBD"/>
    <w:rsid w:val="002F5E2D"/>
    <w:rsid w:val="003035E4"/>
    <w:rsid w:val="00303C72"/>
    <w:rsid w:val="00304ECA"/>
    <w:rsid w:val="00304F38"/>
    <w:rsid w:val="00305763"/>
    <w:rsid w:val="00305A97"/>
    <w:rsid w:val="00306005"/>
    <w:rsid w:val="003128D6"/>
    <w:rsid w:val="00312FDD"/>
    <w:rsid w:val="003136E0"/>
    <w:rsid w:val="00331AD6"/>
    <w:rsid w:val="003323AB"/>
    <w:rsid w:val="0033441E"/>
    <w:rsid w:val="00336450"/>
    <w:rsid w:val="00336C48"/>
    <w:rsid w:val="0034007D"/>
    <w:rsid w:val="00340F25"/>
    <w:rsid w:val="00342E34"/>
    <w:rsid w:val="00345AAF"/>
    <w:rsid w:val="00354662"/>
    <w:rsid w:val="0035498B"/>
    <w:rsid w:val="003617B3"/>
    <w:rsid w:val="00365E85"/>
    <w:rsid w:val="00376FEE"/>
    <w:rsid w:val="0038168C"/>
    <w:rsid w:val="00390237"/>
    <w:rsid w:val="00396282"/>
    <w:rsid w:val="00397F6B"/>
    <w:rsid w:val="003A0149"/>
    <w:rsid w:val="003A082E"/>
    <w:rsid w:val="003A3BEE"/>
    <w:rsid w:val="003A550A"/>
    <w:rsid w:val="003A6312"/>
    <w:rsid w:val="003A6497"/>
    <w:rsid w:val="003A64D1"/>
    <w:rsid w:val="003B6029"/>
    <w:rsid w:val="003B6443"/>
    <w:rsid w:val="003D420B"/>
    <w:rsid w:val="003D4E68"/>
    <w:rsid w:val="003D5A34"/>
    <w:rsid w:val="003D5F2D"/>
    <w:rsid w:val="003E3733"/>
    <w:rsid w:val="003E3E02"/>
    <w:rsid w:val="003E52E4"/>
    <w:rsid w:val="003F0D92"/>
    <w:rsid w:val="003F4A7D"/>
    <w:rsid w:val="003F5F22"/>
    <w:rsid w:val="004007C6"/>
    <w:rsid w:val="004047E0"/>
    <w:rsid w:val="004058E7"/>
    <w:rsid w:val="00406AB9"/>
    <w:rsid w:val="00411008"/>
    <w:rsid w:val="004146FB"/>
    <w:rsid w:val="00416B98"/>
    <w:rsid w:val="00421BE1"/>
    <w:rsid w:val="00424574"/>
    <w:rsid w:val="0043396A"/>
    <w:rsid w:val="00434BAC"/>
    <w:rsid w:val="00436F1F"/>
    <w:rsid w:val="004413C9"/>
    <w:rsid w:val="00443658"/>
    <w:rsid w:val="00443A7A"/>
    <w:rsid w:val="004462C1"/>
    <w:rsid w:val="004477B3"/>
    <w:rsid w:val="00447D95"/>
    <w:rsid w:val="00451D42"/>
    <w:rsid w:val="004548C8"/>
    <w:rsid w:val="00460069"/>
    <w:rsid w:val="004609A6"/>
    <w:rsid w:val="00464C03"/>
    <w:rsid w:val="00465FDC"/>
    <w:rsid w:val="0046606C"/>
    <w:rsid w:val="00466960"/>
    <w:rsid w:val="00467910"/>
    <w:rsid w:val="00477F46"/>
    <w:rsid w:val="00482F71"/>
    <w:rsid w:val="00484CFE"/>
    <w:rsid w:val="00485B1E"/>
    <w:rsid w:val="00487A88"/>
    <w:rsid w:val="00487F8E"/>
    <w:rsid w:val="00490F3F"/>
    <w:rsid w:val="00495D67"/>
    <w:rsid w:val="00497B93"/>
    <w:rsid w:val="004A2ACA"/>
    <w:rsid w:val="004A35BF"/>
    <w:rsid w:val="004A66A7"/>
    <w:rsid w:val="004A7C53"/>
    <w:rsid w:val="004B088D"/>
    <w:rsid w:val="004B2878"/>
    <w:rsid w:val="004B4683"/>
    <w:rsid w:val="004C4B92"/>
    <w:rsid w:val="004C6691"/>
    <w:rsid w:val="004C6734"/>
    <w:rsid w:val="004D4F2E"/>
    <w:rsid w:val="004E3BC7"/>
    <w:rsid w:val="004E5601"/>
    <w:rsid w:val="004E6E54"/>
    <w:rsid w:val="004F2FEB"/>
    <w:rsid w:val="004F7A5F"/>
    <w:rsid w:val="00503576"/>
    <w:rsid w:val="005047AA"/>
    <w:rsid w:val="00505838"/>
    <w:rsid w:val="00507701"/>
    <w:rsid w:val="005157B6"/>
    <w:rsid w:val="00531973"/>
    <w:rsid w:val="005336F7"/>
    <w:rsid w:val="005341CD"/>
    <w:rsid w:val="00534423"/>
    <w:rsid w:val="0053655F"/>
    <w:rsid w:val="00540D9C"/>
    <w:rsid w:val="005456FA"/>
    <w:rsid w:val="00547C8A"/>
    <w:rsid w:val="005507C1"/>
    <w:rsid w:val="00551DEB"/>
    <w:rsid w:val="005544A9"/>
    <w:rsid w:val="005555AF"/>
    <w:rsid w:val="00556C74"/>
    <w:rsid w:val="00562045"/>
    <w:rsid w:val="00562C71"/>
    <w:rsid w:val="0056560D"/>
    <w:rsid w:val="0056618F"/>
    <w:rsid w:val="00566FD2"/>
    <w:rsid w:val="00573413"/>
    <w:rsid w:val="005755FE"/>
    <w:rsid w:val="00581AE1"/>
    <w:rsid w:val="00582260"/>
    <w:rsid w:val="005845DD"/>
    <w:rsid w:val="00584D75"/>
    <w:rsid w:val="00587915"/>
    <w:rsid w:val="005904C4"/>
    <w:rsid w:val="005960CA"/>
    <w:rsid w:val="005A7B12"/>
    <w:rsid w:val="005B1F45"/>
    <w:rsid w:val="005B2757"/>
    <w:rsid w:val="005B5777"/>
    <w:rsid w:val="005B7D44"/>
    <w:rsid w:val="005C2655"/>
    <w:rsid w:val="005C2C80"/>
    <w:rsid w:val="005C3840"/>
    <w:rsid w:val="005C4EA3"/>
    <w:rsid w:val="005D03C4"/>
    <w:rsid w:val="005D6655"/>
    <w:rsid w:val="005E2DF7"/>
    <w:rsid w:val="005E40C3"/>
    <w:rsid w:val="005E416A"/>
    <w:rsid w:val="005E4517"/>
    <w:rsid w:val="005E72A1"/>
    <w:rsid w:val="005F1458"/>
    <w:rsid w:val="005F3E8E"/>
    <w:rsid w:val="005F79E3"/>
    <w:rsid w:val="00605ABC"/>
    <w:rsid w:val="00610BDD"/>
    <w:rsid w:val="006116DC"/>
    <w:rsid w:val="0061269C"/>
    <w:rsid w:val="00615C2F"/>
    <w:rsid w:val="00617360"/>
    <w:rsid w:val="00620FA1"/>
    <w:rsid w:val="006220E6"/>
    <w:rsid w:val="00624A58"/>
    <w:rsid w:val="006252A3"/>
    <w:rsid w:val="00626934"/>
    <w:rsid w:val="00630138"/>
    <w:rsid w:val="00630A4D"/>
    <w:rsid w:val="0063147E"/>
    <w:rsid w:val="00631BB8"/>
    <w:rsid w:val="00632C36"/>
    <w:rsid w:val="006330AA"/>
    <w:rsid w:val="0063644C"/>
    <w:rsid w:val="00642141"/>
    <w:rsid w:val="006442C2"/>
    <w:rsid w:val="0064643C"/>
    <w:rsid w:val="00651CAA"/>
    <w:rsid w:val="00655F7B"/>
    <w:rsid w:val="00660CAC"/>
    <w:rsid w:val="00662500"/>
    <w:rsid w:val="00664527"/>
    <w:rsid w:val="00676155"/>
    <w:rsid w:val="00684C1C"/>
    <w:rsid w:val="00692B3D"/>
    <w:rsid w:val="00695BDF"/>
    <w:rsid w:val="00695F42"/>
    <w:rsid w:val="006A38A2"/>
    <w:rsid w:val="006B2930"/>
    <w:rsid w:val="006B55B0"/>
    <w:rsid w:val="006B7F1F"/>
    <w:rsid w:val="006C45F9"/>
    <w:rsid w:val="006C6D65"/>
    <w:rsid w:val="006C755D"/>
    <w:rsid w:val="006C7EF3"/>
    <w:rsid w:val="006D036F"/>
    <w:rsid w:val="006D2641"/>
    <w:rsid w:val="006D3F73"/>
    <w:rsid w:val="006E26E2"/>
    <w:rsid w:val="006E569C"/>
    <w:rsid w:val="006E6BB5"/>
    <w:rsid w:val="006E7A17"/>
    <w:rsid w:val="006F4F87"/>
    <w:rsid w:val="0071100A"/>
    <w:rsid w:val="00712D38"/>
    <w:rsid w:val="00717D7F"/>
    <w:rsid w:val="00721468"/>
    <w:rsid w:val="00722B93"/>
    <w:rsid w:val="00726678"/>
    <w:rsid w:val="007315CD"/>
    <w:rsid w:val="00733505"/>
    <w:rsid w:val="00735C01"/>
    <w:rsid w:val="00743D7C"/>
    <w:rsid w:val="007468E6"/>
    <w:rsid w:val="00746C1B"/>
    <w:rsid w:val="00760ED5"/>
    <w:rsid w:val="00763937"/>
    <w:rsid w:val="007677AB"/>
    <w:rsid w:val="00773AE9"/>
    <w:rsid w:val="00774BEA"/>
    <w:rsid w:val="007770F5"/>
    <w:rsid w:val="00783588"/>
    <w:rsid w:val="00783F5B"/>
    <w:rsid w:val="00786294"/>
    <w:rsid w:val="007863AE"/>
    <w:rsid w:val="00786DE4"/>
    <w:rsid w:val="00787D19"/>
    <w:rsid w:val="007904ED"/>
    <w:rsid w:val="00793024"/>
    <w:rsid w:val="007A11D3"/>
    <w:rsid w:val="007A1F51"/>
    <w:rsid w:val="007A2A5F"/>
    <w:rsid w:val="007B0915"/>
    <w:rsid w:val="007B5ADE"/>
    <w:rsid w:val="007B7296"/>
    <w:rsid w:val="007B7FDB"/>
    <w:rsid w:val="007C6609"/>
    <w:rsid w:val="007C7175"/>
    <w:rsid w:val="007D0E99"/>
    <w:rsid w:val="007D345C"/>
    <w:rsid w:val="007E6C8A"/>
    <w:rsid w:val="007F0B02"/>
    <w:rsid w:val="007F17E5"/>
    <w:rsid w:val="007F7939"/>
    <w:rsid w:val="008019AD"/>
    <w:rsid w:val="00802D42"/>
    <w:rsid w:val="00802F65"/>
    <w:rsid w:val="008041E3"/>
    <w:rsid w:val="0080580D"/>
    <w:rsid w:val="008130F3"/>
    <w:rsid w:val="008164EF"/>
    <w:rsid w:val="00826F31"/>
    <w:rsid w:val="00831270"/>
    <w:rsid w:val="008431DC"/>
    <w:rsid w:val="00847BC3"/>
    <w:rsid w:val="00852D4D"/>
    <w:rsid w:val="00856BE8"/>
    <w:rsid w:val="00866E81"/>
    <w:rsid w:val="00867768"/>
    <w:rsid w:val="00870EDA"/>
    <w:rsid w:val="00875B7D"/>
    <w:rsid w:val="00876BE3"/>
    <w:rsid w:val="00876C83"/>
    <w:rsid w:val="00876CBF"/>
    <w:rsid w:val="008821BB"/>
    <w:rsid w:val="0088306F"/>
    <w:rsid w:val="0088555C"/>
    <w:rsid w:val="008858A8"/>
    <w:rsid w:val="0088654F"/>
    <w:rsid w:val="00886626"/>
    <w:rsid w:val="008868F1"/>
    <w:rsid w:val="0089081C"/>
    <w:rsid w:val="00890BBC"/>
    <w:rsid w:val="00894977"/>
    <w:rsid w:val="008A0B40"/>
    <w:rsid w:val="008A3DEC"/>
    <w:rsid w:val="008A4849"/>
    <w:rsid w:val="008A5E8A"/>
    <w:rsid w:val="008B3385"/>
    <w:rsid w:val="008B6AFD"/>
    <w:rsid w:val="008C1A88"/>
    <w:rsid w:val="008D65DE"/>
    <w:rsid w:val="008E2CDE"/>
    <w:rsid w:val="008E4B2B"/>
    <w:rsid w:val="008E5BDA"/>
    <w:rsid w:val="008E5D2F"/>
    <w:rsid w:val="008E6D30"/>
    <w:rsid w:val="008F3263"/>
    <w:rsid w:val="008F4F80"/>
    <w:rsid w:val="009051F3"/>
    <w:rsid w:val="00906CBB"/>
    <w:rsid w:val="009105F7"/>
    <w:rsid w:val="00910C2F"/>
    <w:rsid w:val="009118FB"/>
    <w:rsid w:val="00913943"/>
    <w:rsid w:val="00920704"/>
    <w:rsid w:val="00920E78"/>
    <w:rsid w:val="00921316"/>
    <w:rsid w:val="00923AC2"/>
    <w:rsid w:val="00927490"/>
    <w:rsid w:val="00930B4D"/>
    <w:rsid w:val="00930C34"/>
    <w:rsid w:val="00931079"/>
    <w:rsid w:val="00931E23"/>
    <w:rsid w:val="0094296B"/>
    <w:rsid w:val="009449C5"/>
    <w:rsid w:val="00944F58"/>
    <w:rsid w:val="00946653"/>
    <w:rsid w:val="009567AE"/>
    <w:rsid w:val="00957DA1"/>
    <w:rsid w:val="009626A1"/>
    <w:rsid w:val="009646AE"/>
    <w:rsid w:val="00966E83"/>
    <w:rsid w:val="00967095"/>
    <w:rsid w:val="009677C4"/>
    <w:rsid w:val="009724B0"/>
    <w:rsid w:val="009730A9"/>
    <w:rsid w:val="0097561D"/>
    <w:rsid w:val="00985833"/>
    <w:rsid w:val="00985F1A"/>
    <w:rsid w:val="00992EB8"/>
    <w:rsid w:val="0099395D"/>
    <w:rsid w:val="009A17F3"/>
    <w:rsid w:val="009B0AC6"/>
    <w:rsid w:val="009B3BCC"/>
    <w:rsid w:val="009B6EFA"/>
    <w:rsid w:val="009C09F4"/>
    <w:rsid w:val="009C0B55"/>
    <w:rsid w:val="009C5203"/>
    <w:rsid w:val="009C57ED"/>
    <w:rsid w:val="009C6213"/>
    <w:rsid w:val="009D0126"/>
    <w:rsid w:val="009D2C8E"/>
    <w:rsid w:val="009D2E02"/>
    <w:rsid w:val="009E0E0B"/>
    <w:rsid w:val="009E0EF1"/>
    <w:rsid w:val="009E4352"/>
    <w:rsid w:val="009E4AAD"/>
    <w:rsid w:val="009E5614"/>
    <w:rsid w:val="009F1F28"/>
    <w:rsid w:val="009F4100"/>
    <w:rsid w:val="009F51E2"/>
    <w:rsid w:val="009F70FF"/>
    <w:rsid w:val="009F78EC"/>
    <w:rsid w:val="00A01206"/>
    <w:rsid w:val="00A02A73"/>
    <w:rsid w:val="00A038E9"/>
    <w:rsid w:val="00A075FF"/>
    <w:rsid w:val="00A1052D"/>
    <w:rsid w:val="00A17260"/>
    <w:rsid w:val="00A20183"/>
    <w:rsid w:val="00A25CAE"/>
    <w:rsid w:val="00A26AB2"/>
    <w:rsid w:val="00A315AE"/>
    <w:rsid w:val="00A33175"/>
    <w:rsid w:val="00A33457"/>
    <w:rsid w:val="00A33FBE"/>
    <w:rsid w:val="00A341B8"/>
    <w:rsid w:val="00A34EB6"/>
    <w:rsid w:val="00A36D05"/>
    <w:rsid w:val="00A370E4"/>
    <w:rsid w:val="00A5312A"/>
    <w:rsid w:val="00A53947"/>
    <w:rsid w:val="00A57903"/>
    <w:rsid w:val="00A60934"/>
    <w:rsid w:val="00A634D4"/>
    <w:rsid w:val="00A65045"/>
    <w:rsid w:val="00A672FF"/>
    <w:rsid w:val="00A7075E"/>
    <w:rsid w:val="00A712C2"/>
    <w:rsid w:val="00A74D5A"/>
    <w:rsid w:val="00A84B6B"/>
    <w:rsid w:val="00A86420"/>
    <w:rsid w:val="00A92743"/>
    <w:rsid w:val="00A94A15"/>
    <w:rsid w:val="00A958FE"/>
    <w:rsid w:val="00A9699D"/>
    <w:rsid w:val="00A97E6F"/>
    <w:rsid w:val="00AA1418"/>
    <w:rsid w:val="00AA21FE"/>
    <w:rsid w:val="00AA2766"/>
    <w:rsid w:val="00AA7849"/>
    <w:rsid w:val="00AB3F68"/>
    <w:rsid w:val="00AB574B"/>
    <w:rsid w:val="00AC182A"/>
    <w:rsid w:val="00AC62DB"/>
    <w:rsid w:val="00AC635B"/>
    <w:rsid w:val="00AC6FEB"/>
    <w:rsid w:val="00AC7A49"/>
    <w:rsid w:val="00AC7D45"/>
    <w:rsid w:val="00AE3591"/>
    <w:rsid w:val="00AE73DE"/>
    <w:rsid w:val="00AE75CB"/>
    <w:rsid w:val="00AF3923"/>
    <w:rsid w:val="00AF40FF"/>
    <w:rsid w:val="00B00E9F"/>
    <w:rsid w:val="00B02F95"/>
    <w:rsid w:val="00B04FEC"/>
    <w:rsid w:val="00B20D65"/>
    <w:rsid w:val="00B240C8"/>
    <w:rsid w:val="00B25B1B"/>
    <w:rsid w:val="00B43010"/>
    <w:rsid w:val="00B44C54"/>
    <w:rsid w:val="00B514B9"/>
    <w:rsid w:val="00B51A53"/>
    <w:rsid w:val="00B520CC"/>
    <w:rsid w:val="00B52E20"/>
    <w:rsid w:val="00B53325"/>
    <w:rsid w:val="00B61AD6"/>
    <w:rsid w:val="00B6641B"/>
    <w:rsid w:val="00B82064"/>
    <w:rsid w:val="00B82E0B"/>
    <w:rsid w:val="00B848B5"/>
    <w:rsid w:val="00B86265"/>
    <w:rsid w:val="00B91A6C"/>
    <w:rsid w:val="00B91B2B"/>
    <w:rsid w:val="00B96CCC"/>
    <w:rsid w:val="00BA4469"/>
    <w:rsid w:val="00BA4D7B"/>
    <w:rsid w:val="00BB15DA"/>
    <w:rsid w:val="00BB489B"/>
    <w:rsid w:val="00BB7F0D"/>
    <w:rsid w:val="00BC1B17"/>
    <w:rsid w:val="00BC1C67"/>
    <w:rsid w:val="00BC57A8"/>
    <w:rsid w:val="00BC5AB0"/>
    <w:rsid w:val="00BD054D"/>
    <w:rsid w:val="00BD2D04"/>
    <w:rsid w:val="00BE054F"/>
    <w:rsid w:val="00BE125F"/>
    <w:rsid w:val="00BF1AE9"/>
    <w:rsid w:val="00BF4A12"/>
    <w:rsid w:val="00BF5B85"/>
    <w:rsid w:val="00C0068D"/>
    <w:rsid w:val="00C00951"/>
    <w:rsid w:val="00C02BAE"/>
    <w:rsid w:val="00C057C3"/>
    <w:rsid w:val="00C1220A"/>
    <w:rsid w:val="00C130C3"/>
    <w:rsid w:val="00C16945"/>
    <w:rsid w:val="00C175A4"/>
    <w:rsid w:val="00C221EF"/>
    <w:rsid w:val="00C30789"/>
    <w:rsid w:val="00C412B7"/>
    <w:rsid w:val="00C41497"/>
    <w:rsid w:val="00C433A3"/>
    <w:rsid w:val="00C46AFF"/>
    <w:rsid w:val="00C53563"/>
    <w:rsid w:val="00C61AD6"/>
    <w:rsid w:val="00C61FDD"/>
    <w:rsid w:val="00C65089"/>
    <w:rsid w:val="00C653D5"/>
    <w:rsid w:val="00C66FF7"/>
    <w:rsid w:val="00C71C06"/>
    <w:rsid w:val="00C75090"/>
    <w:rsid w:val="00C81946"/>
    <w:rsid w:val="00C8240A"/>
    <w:rsid w:val="00C8742F"/>
    <w:rsid w:val="00C9241E"/>
    <w:rsid w:val="00C929E9"/>
    <w:rsid w:val="00C9340E"/>
    <w:rsid w:val="00CA746A"/>
    <w:rsid w:val="00CA7AEC"/>
    <w:rsid w:val="00CB5A45"/>
    <w:rsid w:val="00CC05BA"/>
    <w:rsid w:val="00CC0D54"/>
    <w:rsid w:val="00CC1780"/>
    <w:rsid w:val="00CC17B6"/>
    <w:rsid w:val="00CC5B30"/>
    <w:rsid w:val="00CD06BF"/>
    <w:rsid w:val="00CD1C73"/>
    <w:rsid w:val="00CD277D"/>
    <w:rsid w:val="00CD63C4"/>
    <w:rsid w:val="00CE098F"/>
    <w:rsid w:val="00CE09A2"/>
    <w:rsid w:val="00CE0AC0"/>
    <w:rsid w:val="00CE3467"/>
    <w:rsid w:val="00CE69F6"/>
    <w:rsid w:val="00CF0806"/>
    <w:rsid w:val="00CF53B3"/>
    <w:rsid w:val="00CF72DE"/>
    <w:rsid w:val="00D038D1"/>
    <w:rsid w:val="00D07EBD"/>
    <w:rsid w:val="00D07FA9"/>
    <w:rsid w:val="00D116C5"/>
    <w:rsid w:val="00D12B1B"/>
    <w:rsid w:val="00D1339E"/>
    <w:rsid w:val="00D13CE1"/>
    <w:rsid w:val="00D40391"/>
    <w:rsid w:val="00D40603"/>
    <w:rsid w:val="00D4407B"/>
    <w:rsid w:val="00D47ABB"/>
    <w:rsid w:val="00D500BF"/>
    <w:rsid w:val="00D60EA7"/>
    <w:rsid w:val="00D63BD2"/>
    <w:rsid w:val="00D64E9A"/>
    <w:rsid w:val="00D67DA5"/>
    <w:rsid w:val="00D802FE"/>
    <w:rsid w:val="00D82217"/>
    <w:rsid w:val="00D8564C"/>
    <w:rsid w:val="00D91273"/>
    <w:rsid w:val="00D953B0"/>
    <w:rsid w:val="00DA2216"/>
    <w:rsid w:val="00DB2E2B"/>
    <w:rsid w:val="00DB34AA"/>
    <w:rsid w:val="00DB7C88"/>
    <w:rsid w:val="00DB7CF5"/>
    <w:rsid w:val="00DC0C6B"/>
    <w:rsid w:val="00DC64DE"/>
    <w:rsid w:val="00DD21EA"/>
    <w:rsid w:val="00DD4EF4"/>
    <w:rsid w:val="00DD7CA6"/>
    <w:rsid w:val="00DE1475"/>
    <w:rsid w:val="00DE37AE"/>
    <w:rsid w:val="00DF0647"/>
    <w:rsid w:val="00DF6FA6"/>
    <w:rsid w:val="00DF7FF7"/>
    <w:rsid w:val="00E001C3"/>
    <w:rsid w:val="00E0253A"/>
    <w:rsid w:val="00E053F8"/>
    <w:rsid w:val="00E05744"/>
    <w:rsid w:val="00E11714"/>
    <w:rsid w:val="00E12976"/>
    <w:rsid w:val="00E12FA0"/>
    <w:rsid w:val="00E15A19"/>
    <w:rsid w:val="00E16D85"/>
    <w:rsid w:val="00E20DE7"/>
    <w:rsid w:val="00E21D26"/>
    <w:rsid w:val="00E23307"/>
    <w:rsid w:val="00E267ED"/>
    <w:rsid w:val="00E424FD"/>
    <w:rsid w:val="00E47F7C"/>
    <w:rsid w:val="00E53C81"/>
    <w:rsid w:val="00E572F3"/>
    <w:rsid w:val="00E5736E"/>
    <w:rsid w:val="00E65E5F"/>
    <w:rsid w:val="00E67541"/>
    <w:rsid w:val="00E67AB1"/>
    <w:rsid w:val="00E72444"/>
    <w:rsid w:val="00E736CE"/>
    <w:rsid w:val="00E73FDF"/>
    <w:rsid w:val="00E843E1"/>
    <w:rsid w:val="00E96C0F"/>
    <w:rsid w:val="00EA049C"/>
    <w:rsid w:val="00EA1CBB"/>
    <w:rsid w:val="00EA1F3D"/>
    <w:rsid w:val="00EA2373"/>
    <w:rsid w:val="00EA288E"/>
    <w:rsid w:val="00EA28A9"/>
    <w:rsid w:val="00EA4334"/>
    <w:rsid w:val="00EA5BA6"/>
    <w:rsid w:val="00EA6EDC"/>
    <w:rsid w:val="00EB4100"/>
    <w:rsid w:val="00EC3066"/>
    <w:rsid w:val="00EC6529"/>
    <w:rsid w:val="00EC6EB9"/>
    <w:rsid w:val="00ED1A25"/>
    <w:rsid w:val="00ED1FA8"/>
    <w:rsid w:val="00EE74C6"/>
    <w:rsid w:val="00EF1658"/>
    <w:rsid w:val="00EF2233"/>
    <w:rsid w:val="00EF38D0"/>
    <w:rsid w:val="00EF3B0F"/>
    <w:rsid w:val="00EF3CCE"/>
    <w:rsid w:val="00EF4E64"/>
    <w:rsid w:val="00F00B0E"/>
    <w:rsid w:val="00F012CA"/>
    <w:rsid w:val="00F017AE"/>
    <w:rsid w:val="00F065E8"/>
    <w:rsid w:val="00F06E2F"/>
    <w:rsid w:val="00F07024"/>
    <w:rsid w:val="00F074DE"/>
    <w:rsid w:val="00F07FCB"/>
    <w:rsid w:val="00F14CE9"/>
    <w:rsid w:val="00F15665"/>
    <w:rsid w:val="00F16784"/>
    <w:rsid w:val="00F228CF"/>
    <w:rsid w:val="00F22C28"/>
    <w:rsid w:val="00F24610"/>
    <w:rsid w:val="00F24A02"/>
    <w:rsid w:val="00F271AE"/>
    <w:rsid w:val="00F30C94"/>
    <w:rsid w:val="00F318C4"/>
    <w:rsid w:val="00F33CE1"/>
    <w:rsid w:val="00F358A8"/>
    <w:rsid w:val="00F426EC"/>
    <w:rsid w:val="00F42E7A"/>
    <w:rsid w:val="00F43122"/>
    <w:rsid w:val="00F454AF"/>
    <w:rsid w:val="00F45ED8"/>
    <w:rsid w:val="00F50BD1"/>
    <w:rsid w:val="00F52FF9"/>
    <w:rsid w:val="00F54814"/>
    <w:rsid w:val="00F5593E"/>
    <w:rsid w:val="00F6142F"/>
    <w:rsid w:val="00F7160D"/>
    <w:rsid w:val="00F8785E"/>
    <w:rsid w:val="00F93AEC"/>
    <w:rsid w:val="00F97D8A"/>
    <w:rsid w:val="00FA1479"/>
    <w:rsid w:val="00FA2CBE"/>
    <w:rsid w:val="00FA4EF9"/>
    <w:rsid w:val="00FA5877"/>
    <w:rsid w:val="00FB0A50"/>
    <w:rsid w:val="00FB55C6"/>
    <w:rsid w:val="00FB5704"/>
    <w:rsid w:val="00FC213B"/>
    <w:rsid w:val="00FD269C"/>
    <w:rsid w:val="00FD6DE0"/>
    <w:rsid w:val="00FD7543"/>
    <w:rsid w:val="00FE16BD"/>
    <w:rsid w:val="00FE17DE"/>
    <w:rsid w:val="00FE2F03"/>
    <w:rsid w:val="00FE42C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20D20"/>
  <w15:chartTrackingRefBased/>
  <w15:docId w15:val="{B786A7BD-B3CD-4427-8691-EE755B0B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FDF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7F0B02"/>
    <w:pPr>
      <w:keepNext/>
      <w:numPr>
        <w:numId w:val="3"/>
      </w:numPr>
      <w:spacing w:before="120"/>
      <w:ind w:left="357" w:hanging="357"/>
      <w:outlineLvl w:val="0"/>
    </w:pPr>
    <w:rPr>
      <w:color w:val="2E74B5"/>
      <w:sz w:val="28"/>
      <w:szCs w:val="28"/>
    </w:rPr>
  </w:style>
  <w:style w:type="paragraph" w:styleId="Overskrift2">
    <w:name w:val="heading 2"/>
    <w:basedOn w:val="Normal"/>
    <w:next w:val="Normal"/>
    <w:qFormat/>
    <w:rsid w:val="00137A8E"/>
    <w:pPr>
      <w:keepNext/>
      <w:numPr>
        <w:ilvl w:val="1"/>
        <w:numId w:val="3"/>
      </w:numPr>
      <w:outlineLvl w:val="1"/>
    </w:pPr>
    <w:rPr>
      <w:b/>
      <w:bCs/>
      <w:color w:val="2E74B5"/>
      <w:szCs w:val="24"/>
    </w:rPr>
  </w:style>
  <w:style w:type="paragraph" w:styleId="Overskrift3">
    <w:name w:val="heading 3"/>
    <w:basedOn w:val="Normal"/>
    <w:next w:val="Normal"/>
    <w:qFormat/>
    <w:pPr>
      <w:keepNext/>
      <w:numPr>
        <w:numId w:val="1"/>
      </w:numPr>
      <w:tabs>
        <w:tab w:val="clear" w:pos="1065"/>
        <w:tab w:val="num" w:pos="720"/>
      </w:tabs>
      <w:ind w:hanging="1065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strike w:val="0"/>
      <w:dstrike w:val="0"/>
      <w:color w:val="0099FF"/>
      <w:u w:val="none"/>
      <w:effect w:val="none"/>
    </w:rPr>
  </w:style>
  <w:style w:type="paragraph" w:customStyle="1" w:styleId="Overskrift">
    <w:name w:val="Overskrift"/>
    <w:basedOn w:val="Normal"/>
    <w:rPr>
      <w:rFonts w:ascii="Arial" w:hAnsi="Arial"/>
      <w:b/>
      <w:color w:val="000000"/>
      <w:sz w:val="32"/>
    </w:rPr>
  </w:style>
  <w:style w:type="paragraph" w:styleId="Brdteks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b-NO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rsid w:val="00D1339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D1339E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D1339E"/>
    <w:rPr>
      <w:sz w:val="16"/>
      <w:szCs w:val="16"/>
    </w:rPr>
  </w:style>
  <w:style w:type="paragraph" w:styleId="Merknadstekst">
    <w:name w:val="annotation text"/>
    <w:basedOn w:val="Normal"/>
    <w:semiHidden/>
    <w:rsid w:val="00D1339E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339E"/>
    <w:rPr>
      <w:b/>
      <w:bCs/>
    </w:rPr>
  </w:style>
  <w:style w:type="paragraph" w:customStyle="1" w:styleId="CM3">
    <w:name w:val="CM3"/>
    <w:basedOn w:val="Normal"/>
    <w:next w:val="Normal"/>
    <w:rsid w:val="00F8785E"/>
    <w:pPr>
      <w:autoSpaceDE w:val="0"/>
      <w:autoSpaceDN w:val="0"/>
      <w:adjustRightInd w:val="0"/>
      <w:spacing w:line="258" w:lineRule="atLeast"/>
    </w:pPr>
    <w:rPr>
      <w:rFonts w:ascii="Century Old Style" w:hAnsi="Century Old Style"/>
      <w:szCs w:val="24"/>
      <w:lang w:eastAsia="nb-NO"/>
    </w:rPr>
  </w:style>
  <w:style w:type="paragraph" w:customStyle="1" w:styleId="CM9">
    <w:name w:val="CM9"/>
    <w:basedOn w:val="Normal"/>
    <w:next w:val="Normal"/>
    <w:rsid w:val="00F8785E"/>
    <w:pPr>
      <w:autoSpaceDE w:val="0"/>
      <w:autoSpaceDN w:val="0"/>
      <w:adjustRightInd w:val="0"/>
      <w:spacing w:line="256" w:lineRule="atLeast"/>
    </w:pPr>
    <w:rPr>
      <w:rFonts w:ascii="Century Old Style" w:hAnsi="Century Old Style"/>
      <w:szCs w:val="24"/>
      <w:lang w:eastAsia="nb-NO"/>
    </w:rPr>
  </w:style>
  <w:style w:type="paragraph" w:styleId="Fotnotetekst">
    <w:name w:val="footnote text"/>
    <w:basedOn w:val="Normal"/>
    <w:link w:val="FotnotetekstTegn"/>
    <w:semiHidden/>
    <w:rsid w:val="001A512D"/>
    <w:rPr>
      <w:sz w:val="20"/>
    </w:rPr>
  </w:style>
  <w:style w:type="character" w:styleId="Fotnotereferanse">
    <w:name w:val="footnote reference"/>
    <w:semiHidden/>
    <w:rsid w:val="001A512D"/>
    <w:rPr>
      <w:vertAlign w:val="superscript"/>
    </w:rPr>
  </w:style>
  <w:style w:type="character" w:customStyle="1" w:styleId="k-text">
    <w:name w:val="k-text"/>
    <w:basedOn w:val="Standardskriftforavsnitt"/>
    <w:rsid w:val="0010315B"/>
  </w:style>
  <w:style w:type="character" w:customStyle="1" w:styleId="FotnotetekstTegn">
    <w:name w:val="Fotnotetekst Tegn"/>
    <w:link w:val="Fotnotetekst"/>
    <w:rsid w:val="00763937"/>
    <w:rPr>
      <w:lang w:val="nb-NO" w:eastAsia="en-US" w:bidi="ar-SA"/>
    </w:rPr>
  </w:style>
  <w:style w:type="paragraph" w:styleId="Listeavsnitt">
    <w:name w:val="List Paragraph"/>
    <w:basedOn w:val="Normal"/>
    <w:uiPriority w:val="34"/>
    <w:qFormat/>
    <w:rsid w:val="007A1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rsid w:val="007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6626"/>
    <w:pPr>
      <w:keepLines/>
      <w:spacing w:line="259" w:lineRule="auto"/>
      <w:outlineLvl w:val="9"/>
    </w:pPr>
    <w:rPr>
      <w:rFonts w:ascii="Calibri Light" w:hAnsi="Calibri Light"/>
      <w:b/>
      <w:bCs/>
      <w:lang w:eastAsia="nb-NO"/>
    </w:rPr>
  </w:style>
  <w:style w:type="paragraph" w:styleId="INNH1">
    <w:name w:val="toc 1"/>
    <w:basedOn w:val="Normal"/>
    <w:next w:val="Normal"/>
    <w:autoRedefine/>
    <w:uiPriority w:val="39"/>
    <w:rsid w:val="00886626"/>
  </w:style>
  <w:style w:type="paragraph" w:styleId="INNH2">
    <w:name w:val="toc 2"/>
    <w:basedOn w:val="Normal"/>
    <w:next w:val="Normal"/>
    <w:autoRedefine/>
    <w:uiPriority w:val="39"/>
    <w:rsid w:val="0056560D"/>
    <w:pPr>
      <w:ind w:left="240"/>
    </w:pPr>
  </w:style>
  <w:style w:type="paragraph" w:customStyle="1" w:styleId="Default">
    <w:name w:val="Default"/>
    <w:rsid w:val="00F45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C1220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03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8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10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1566B"/>
                    <w:bottom w:val="none" w:sz="0" w:space="0" w:color="auto"/>
                    <w:right w:val="none" w:sz="0" w:space="0" w:color="F2F0E1"/>
                  </w:divBdr>
                  <w:divsChild>
                    <w:div w:id="1381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514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04-06-25-988/KAPITTEL_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F647-958F-4E46-858E-94AB91DD7773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customXml/itemProps2.xml><?xml version="1.0" encoding="utf-8"?>
<ds:datastoreItem xmlns:ds="http://schemas.openxmlformats.org/officeDocument/2006/customXml" ds:itemID="{BCD5B46B-67AE-48A1-802B-493C730C5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94DF6-CE5C-48AE-A905-B8928CE42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DEA41-1B3D-4892-B308-4B9FAF5D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1945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Links>
    <vt:vector size="60" baseType="variant"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_Toc464412020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_Toc464412019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_Toc464412018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_Toc464412017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_Toc464412016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_Toc464412015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_Toc464412014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_Toc464412013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_Toc464412012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_Toc464412011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Svendsen, Katrine Aam</cp:lastModifiedBy>
  <cp:revision>8</cp:revision>
  <dcterms:created xsi:type="dcterms:W3CDTF">2020-06-24T13:01:00Z</dcterms:created>
  <dcterms:modified xsi:type="dcterms:W3CDTF">2021-12-15T22:42:00Z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384100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